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szCs w:val="20"/>
        </w:rPr>
      </w:pPr>
      <w:bookmarkStart w:id="0" w:name="_Toc453067911"/>
      <w:r w:rsidRPr="002D3FDD">
        <w:rPr>
          <w:rFonts w:asciiTheme="minorHAnsi" w:hAnsiTheme="minorHAnsi" w:cs="Times New Roman"/>
          <w:szCs w:val="20"/>
        </w:rPr>
        <w:t xml:space="preserve">Graf </w:t>
      </w:r>
      <w:r w:rsidRPr="002D3FDD">
        <w:rPr>
          <w:rFonts w:asciiTheme="minorHAnsi" w:hAnsiTheme="minorHAnsi" w:cs="Times New Roman"/>
          <w:szCs w:val="20"/>
        </w:rPr>
        <w:fldChar w:fldCharType="begin"/>
      </w:r>
      <w:r w:rsidRPr="002D3FDD">
        <w:rPr>
          <w:rFonts w:asciiTheme="minorHAnsi" w:hAnsiTheme="minorHAnsi" w:cs="Times New Roman"/>
          <w:szCs w:val="20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0"/>
        </w:rPr>
        <w:fldChar w:fldCharType="separate"/>
      </w:r>
      <w:r w:rsidRPr="002D3FDD">
        <w:rPr>
          <w:rFonts w:asciiTheme="minorHAnsi" w:hAnsiTheme="minorHAnsi" w:cs="Times New Roman"/>
          <w:noProof/>
          <w:szCs w:val="20"/>
        </w:rPr>
        <w:t>1</w:t>
      </w:r>
      <w:r w:rsidRPr="002D3FDD">
        <w:rPr>
          <w:rFonts w:asciiTheme="minorHAnsi" w:hAnsiTheme="minorHAnsi" w:cs="Times New Roman"/>
          <w:szCs w:val="20"/>
        </w:rPr>
        <w:fldChar w:fldCharType="end"/>
      </w:r>
      <w:r w:rsidRPr="002D3FDD">
        <w:rPr>
          <w:rFonts w:asciiTheme="minorHAnsi" w:hAnsiTheme="minorHAnsi" w:cs="Times New Roman"/>
          <w:szCs w:val="20"/>
        </w:rPr>
        <w:t>Počet obyvateľov obce</w:t>
      </w:r>
      <w:bookmarkEnd w:id="0"/>
    </w:p>
    <w:p w:rsidR="005051C8" w:rsidRPr="002D3FDD" w:rsidRDefault="005051C8" w:rsidP="005051C8">
      <w:pPr>
        <w:keepNext/>
        <w:autoSpaceDE w:val="0"/>
        <w:autoSpaceDN w:val="0"/>
        <w:adjustRightInd w:val="0"/>
        <w:spacing w:after="0"/>
        <w:jc w:val="center"/>
        <w:rPr>
          <w:rFonts w:cs="Times New Roman"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3D32CF54" wp14:editId="61488B9A">
            <wp:extent cx="5724525" cy="2762250"/>
            <wp:effectExtent l="0" t="0" r="9525" b="0"/>
            <wp:docPr id="61" name="Graf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0"/>
        </w:rPr>
      </w:pPr>
      <w:r w:rsidRPr="002D3FDD">
        <w:rPr>
          <w:rFonts w:cs="Times New Roman"/>
          <w:i/>
          <w:sz w:val="20"/>
          <w:szCs w:val="20"/>
        </w:rPr>
        <w:t>Zdroj: ŠU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ind w:firstLine="708"/>
        <w:jc w:val="both"/>
        <w:rPr>
          <w:rFonts w:eastAsia="Times New Roman" w:cs="Times New Roman"/>
          <w:sz w:val="24"/>
          <w:szCs w:val="24"/>
        </w:rPr>
      </w:pPr>
      <w:r w:rsidRPr="002D3FDD">
        <w:rPr>
          <w:rFonts w:eastAsia="Times New Roman" w:cs="Times New Roman"/>
          <w:sz w:val="24"/>
          <w:szCs w:val="24"/>
        </w:rPr>
        <w:t xml:space="preserve">Významný ukazovateľ demografie obce je migračné saldo (rozdiel prisťahovaných a vysťahovaných osôb). V obci Hrubov má migračné saldo negatívne hodnoty okrem rokov 2012 a 2013. V roku 2012 dosiahol tento ukazovateľ hodnotu 3 (9 prisťahovaných a 6 vysťahovaných) a v roku 2013 malo hodnotu 5 (5 prisťahovaných, 0 vyťahovaných). Najnižšiu hodnotu -9 malo v roku 2005, kedy sa do obce neprisťahoval ani jeden obyvateľ a vysťahovali sa 9. Hodnotu -8 dosiahlo v roku 2009, kedy sa vysťahovalo tiež 9 </w:t>
      </w:r>
      <w:proofErr w:type="spellStart"/>
      <w:r w:rsidRPr="002D3FDD">
        <w:rPr>
          <w:rFonts w:eastAsia="Times New Roman" w:cs="Times New Roman"/>
          <w:sz w:val="24"/>
          <w:szCs w:val="24"/>
        </w:rPr>
        <w:t>obyvateľov,ale</w:t>
      </w:r>
      <w:proofErr w:type="spellEnd"/>
      <w:r w:rsidRPr="002D3FDD">
        <w:rPr>
          <w:rFonts w:eastAsia="Times New Roman" w:cs="Times New Roman"/>
          <w:sz w:val="24"/>
          <w:szCs w:val="24"/>
        </w:rPr>
        <w:t xml:space="preserve"> na rozdiel od roku 2005 prisťahoval do obce 1 obyvateľ. </w:t>
      </w:r>
    </w:p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" w:name="_Toc453067877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3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Migračné saldo</w:t>
      </w:r>
      <w:bookmarkEnd w:id="1"/>
    </w:p>
    <w:tbl>
      <w:tblPr>
        <w:tblW w:w="89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  <w:gridCol w:w="600"/>
      </w:tblGrid>
      <w:tr w:rsidR="005051C8" w:rsidRPr="002D3FDD" w:rsidTr="00443074">
        <w:trPr>
          <w:trHeight w:val="300"/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748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Prisťahovaní na trvalý pobyt (Osoba)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61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Vysťahovaní z trvalého pobytu (Osoba)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58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Migračné saldo (Osoba)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</w:t>
            </w:r>
          </w:p>
        </w:tc>
      </w:tr>
      <w:tr w:rsidR="005051C8" w:rsidRPr="002D3FDD" w:rsidTr="00443074">
        <w:trPr>
          <w:trHeight w:val="870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Hrubá miera migračného salda (Promile)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-16,9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-7,66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-3,88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-1,96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-15,9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-8,08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-12,2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6,135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10,06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-9,98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-6,11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0"/>
        </w:rPr>
      </w:pPr>
      <w:r w:rsidRPr="002D3FDD">
        <w:rPr>
          <w:rFonts w:cs="Times New Roman"/>
          <w:i/>
          <w:sz w:val="20"/>
          <w:szCs w:val="20"/>
        </w:rPr>
        <w:t>Zdroj: ŠÚ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0"/>
        </w:rPr>
      </w:pPr>
      <w:bookmarkStart w:id="2" w:name="_Toc453067912"/>
      <w:r w:rsidRPr="002D3FDD">
        <w:rPr>
          <w:rFonts w:cs="Times New Roman"/>
          <w:i/>
          <w:sz w:val="20"/>
          <w:szCs w:val="20"/>
        </w:rPr>
        <w:t xml:space="preserve">Graf </w:t>
      </w:r>
      <w:r w:rsidRPr="002D3FDD">
        <w:rPr>
          <w:rFonts w:cs="Times New Roman"/>
          <w:i/>
          <w:sz w:val="20"/>
          <w:szCs w:val="20"/>
        </w:rPr>
        <w:fldChar w:fldCharType="begin"/>
      </w:r>
      <w:r w:rsidRPr="002D3FDD">
        <w:rPr>
          <w:rFonts w:cs="Times New Roman"/>
          <w:i/>
          <w:sz w:val="20"/>
          <w:szCs w:val="20"/>
        </w:rPr>
        <w:instrText xml:space="preserve"> SEQ Graf \* ARABIC </w:instrText>
      </w:r>
      <w:r w:rsidRPr="002D3FDD">
        <w:rPr>
          <w:rFonts w:cs="Times New Roman"/>
          <w:i/>
          <w:sz w:val="20"/>
          <w:szCs w:val="20"/>
        </w:rPr>
        <w:fldChar w:fldCharType="separate"/>
      </w:r>
      <w:r w:rsidRPr="002D3FDD">
        <w:rPr>
          <w:rFonts w:cs="Times New Roman"/>
          <w:i/>
          <w:noProof/>
          <w:sz w:val="20"/>
          <w:szCs w:val="20"/>
        </w:rPr>
        <w:t>2</w:t>
      </w:r>
      <w:r w:rsidRPr="002D3FDD">
        <w:rPr>
          <w:rFonts w:cs="Times New Roman"/>
          <w:i/>
          <w:sz w:val="20"/>
          <w:szCs w:val="20"/>
        </w:rPr>
        <w:fldChar w:fldCharType="end"/>
      </w:r>
      <w:r w:rsidRPr="002D3FDD">
        <w:rPr>
          <w:rFonts w:cs="Times New Roman"/>
          <w:i/>
          <w:sz w:val="20"/>
          <w:szCs w:val="20"/>
        </w:rPr>
        <w:t xml:space="preserve"> Prehľad migračného salda</w:t>
      </w:r>
      <w:bookmarkEnd w:id="2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jc w:val="center"/>
        <w:rPr>
          <w:rFonts w:cs="Times New Roman"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72074BA" wp14:editId="732ADEFB">
            <wp:extent cx="5648325" cy="2571750"/>
            <wp:effectExtent l="0" t="0" r="9525" b="0"/>
            <wp:docPr id="70" name="Graf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0"/>
        </w:rPr>
      </w:pPr>
      <w:r w:rsidRPr="002D3FDD">
        <w:rPr>
          <w:rFonts w:cs="Times New Roman"/>
          <w:i/>
          <w:sz w:val="20"/>
          <w:szCs w:val="20"/>
        </w:rPr>
        <w:t>Zdroj: ŠÚ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 w:cs="Times New Roman"/>
          <w:color w:val="FF0000"/>
          <w:sz w:val="24"/>
          <w:szCs w:val="24"/>
        </w:rPr>
      </w:pPr>
      <w:r w:rsidRPr="002D3FDD">
        <w:rPr>
          <w:rFonts w:eastAsia="Times New Roman" w:cs="Times New Roman"/>
          <w:sz w:val="24"/>
          <w:szCs w:val="24"/>
        </w:rPr>
        <w:t xml:space="preserve">Ďalším významným ukazovateľom demografie obce je prirodzený prírastok obyvateľstva (rozdiel narodených a zomretých osôb). Počas sledovaného obdobia (od roku 2005 až 2015) mal prirodzený prírastok hodnotu 0 v troch rokoch: 2007, 2009, 2015. Kladnú hodnotu 2 mal tento ukazovateľ v roku 2013. Vo väčšine rokov v danom období má však prirodzený prírastok negatívne hodnoty. Najvýraznejšiu hodnotu môžeme pozorovať v roku 2010, kedy sa narodili 2 deti a zomrelo 12 obyvateľov (výsledná hodnota prirodzeného prírastku v roku 2010: -10).  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0"/>
          <w:szCs w:val="24"/>
        </w:rPr>
      </w:pPr>
    </w:p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3" w:name="_Toc453067878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4</w:t>
      </w:r>
      <w:r w:rsidRPr="002D3FDD">
        <w:rPr>
          <w:rFonts w:asciiTheme="minorHAnsi" w:hAnsiTheme="minorHAnsi" w:cs="Times New Roman"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Prirodzený prírastok (úbytok) obyvateľstva</w:t>
      </w:r>
      <w:bookmarkEnd w:id="3"/>
    </w:p>
    <w:tbl>
      <w:tblPr>
        <w:tblpPr w:leftFromText="141" w:rightFromText="141" w:vertAnchor="text" w:horzAnchor="margin" w:tblpXSpec="center" w:tblpY="112"/>
        <w:tblW w:w="90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4"/>
        <w:gridCol w:w="737"/>
        <w:gridCol w:w="625"/>
        <w:gridCol w:w="625"/>
        <w:gridCol w:w="625"/>
        <w:gridCol w:w="625"/>
        <w:gridCol w:w="625"/>
        <w:gridCol w:w="625"/>
        <w:gridCol w:w="625"/>
        <w:gridCol w:w="663"/>
        <w:gridCol w:w="625"/>
        <w:gridCol w:w="775"/>
      </w:tblGrid>
      <w:tr w:rsidR="005051C8" w:rsidRPr="002D3FDD" w:rsidTr="00443074">
        <w:trPr>
          <w:trHeight w:val="301"/>
        </w:trPr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7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301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Narodení (Osoba)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301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Zomretí (Osoba)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618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Prirodzený prírastok obyvateľstva (Osoba)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-4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859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Hrubá miera prirodzeného prírastku obyvateľstva (Promile)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-3,75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-3,83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-7,84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-20,2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-2,04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-2,05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4,024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-7,98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890"/>
        </w:trPr>
        <w:tc>
          <w:tcPr>
            <w:tcW w:w="1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Hrubá miera celkového prírastku obyvateľstva (Promile)</w:t>
            </w:r>
          </w:p>
        </w:tc>
        <w:tc>
          <w:tcPr>
            <w:tcW w:w="7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-20,6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-11,5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-3,88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-9,8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-15,9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-28,3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-14,3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4,09</w:t>
            </w:r>
          </w:p>
        </w:tc>
        <w:tc>
          <w:tcPr>
            <w:tcW w:w="6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14,09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-18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-6,11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jc w:val="both"/>
        <w:rPr>
          <w:rFonts w:cs="Times New Roman"/>
          <w:sz w:val="20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4" w:name="_Toc453067913"/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3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>Prehľad prirodzeného prírastku a celkového prírastku</w:t>
      </w:r>
      <w:bookmarkEnd w:id="4"/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EB9341A" wp14:editId="32109918">
            <wp:extent cx="5734050" cy="2724150"/>
            <wp:effectExtent l="0" t="0" r="0" b="0"/>
            <wp:docPr id="71" name="Graf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jc w:val="both"/>
        <w:rPr>
          <w:rFonts w:eastAsia="Times New Roman" w:cs="Times New Roman"/>
          <w:sz w:val="24"/>
          <w:szCs w:val="24"/>
        </w:rPr>
      </w:pPr>
    </w:p>
    <w:p w:rsidR="005051C8" w:rsidRPr="002D3FDD" w:rsidRDefault="005051C8" w:rsidP="005051C8">
      <w:pPr>
        <w:ind w:firstLine="708"/>
        <w:jc w:val="both"/>
        <w:rPr>
          <w:rFonts w:eastAsia="Times New Roman" w:cs="Times New Roman"/>
          <w:sz w:val="24"/>
          <w:szCs w:val="24"/>
        </w:rPr>
      </w:pPr>
      <w:r w:rsidRPr="002D3FDD">
        <w:rPr>
          <w:rFonts w:eastAsia="Times New Roman" w:cs="Times New Roman"/>
          <w:sz w:val="24"/>
          <w:szCs w:val="24"/>
        </w:rPr>
        <w:t xml:space="preserve">Rôzne aspekty života (sociálno-ekonomická situácia, životná úroveň, pracovné príležitosti...) ovplyvňujú mieru sobášnosti a rozvodovosti v obci. V obci Hrubov sa počet uzatvorených manželstiev v období od rok 2005 do roku 2015 pohyboval v intervale od 1 do 5 sobášov. V posledných dvoch rokoch a v roku 2011 sa konal iba jeden sobáš. Najviac 5 sobášov sa konalo v roku 2007 a v roku 2012. Podľa príslušnej tabuľky a grafu je vidieť, že k rozvodom v počte 1 došlo iba v rokoch 2005, 20104 a 2015. </w:t>
      </w:r>
    </w:p>
    <w:p w:rsidR="005051C8" w:rsidRPr="002D3FDD" w:rsidRDefault="005051C8" w:rsidP="005051C8"/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5" w:name="_Toc453067879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5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Sobášnosť, rozvodovosť</w:t>
      </w:r>
      <w:bookmarkEnd w:id="5"/>
    </w:p>
    <w:tbl>
      <w:tblPr>
        <w:tblW w:w="9034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  <w:gridCol w:w="636"/>
      </w:tblGrid>
      <w:tr w:rsidR="005051C8" w:rsidRPr="002D3FDD" w:rsidTr="00443074">
        <w:trPr>
          <w:trHeight w:val="294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573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Sobáše </w:t>
            </w:r>
          </w:p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(Počet v jednotkách)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573"/>
        </w:trPr>
        <w:tc>
          <w:tcPr>
            <w:tcW w:w="20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Rozvody </w:t>
            </w:r>
          </w:p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(Počet v jednotkách)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i w:val="0"/>
          <w:szCs w:val="20"/>
        </w:rPr>
      </w:pPr>
      <w:bookmarkStart w:id="6" w:name="_Toc453067914"/>
      <w:r w:rsidRPr="002D3FDD">
        <w:rPr>
          <w:rFonts w:asciiTheme="minorHAnsi" w:hAnsiTheme="minorHAnsi" w:cs="Times New Roman"/>
          <w:szCs w:val="20"/>
        </w:rPr>
        <w:t xml:space="preserve">Graf </w:t>
      </w:r>
      <w:r w:rsidRPr="002D3FDD">
        <w:rPr>
          <w:rFonts w:asciiTheme="minorHAnsi" w:hAnsiTheme="minorHAnsi" w:cs="Times New Roman"/>
          <w:szCs w:val="20"/>
        </w:rPr>
        <w:fldChar w:fldCharType="begin"/>
      </w:r>
      <w:r w:rsidRPr="002D3FDD">
        <w:rPr>
          <w:rFonts w:asciiTheme="minorHAnsi" w:hAnsiTheme="minorHAnsi" w:cs="Times New Roman"/>
          <w:szCs w:val="20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0"/>
        </w:rPr>
        <w:fldChar w:fldCharType="separate"/>
      </w:r>
      <w:r w:rsidRPr="002D3FDD">
        <w:rPr>
          <w:rFonts w:asciiTheme="minorHAnsi" w:hAnsiTheme="minorHAnsi" w:cs="Times New Roman"/>
          <w:noProof/>
          <w:szCs w:val="20"/>
        </w:rPr>
        <w:t>4</w:t>
      </w:r>
      <w:r w:rsidRPr="002D3FDD">
        <w:rPr>
          <w:rFonts w:asciiTheme="minorHAnsi" w:hAnsiTheme="minorHAnsi" w:cs="Times New Roman"/>
          <w:noProof/>
          <w:szCs w:val="20"/>
        </w:rPr>
        <w:fldChar w:fldCharType="end"/>
      </w:r>
      <w:r w:rsidRPr="002D3FDD">
        <w:rPr>
          <w:rFonts w:asciiTheme="minorHAnsi" w:hAnsiTheme="minorHAnsi" w:cs="Times New Roman"/>
          <w:szCs w:val="20"/>
        </w:rPr>
        <w:t xml:space="preserve"> Sobášnosť, rozvodovosť</w:t>
      </w:r>
      <w:bookmarkEnd w:id="6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center"/>
        <w:rPr>
          <w:rFonts w:cs="Times New Roman"/>
          <w:i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41CE0AC8" wp14:editId="18806510">
            <wp:extent cx="5667375" cy="2562225"/>
            <wp:effectExtent l="0" t="0" r="9525" b="9525"/>
            <wp:docPr id="72" name="Graf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/>
    <w:p w:rsidR="005051C8" w:rsidRPr="002D3FDD" w:rsidRDefault="005051C8" w:rsidP="005051C8">
      <w:pPr>
        <w:ind w:firstLine="708"/>
        <w:jc w:val="both"/>
      </w:pPr>
      <w:r w:rsidRPr="002D3FDD">
        <w:t xml:space="preserve">Veková štruktúra obce za obdobie od roku 2005 do roku 2015 sa vyznačuje rastúcou krivkou vo vekových skupinách od 15 do 24 rokov, od 35 do 49 rokov a vo vekovej skupine nad 65 rokov. V ostatných vekových kategóriách došlo k poklesu. Najväčší pokles nastal v skupine obyvateľov od 5 do 14 rokov (o 31 osôb menej). K najväčšiemu nárastu došlo v skupine od 35 do 49 rokov, kde v roku 2015 v tejto kategórii bolo o 38 osôb viac ako v roku 2005. 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7" w:name="_Toc453067880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6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Veková štruktúra obyvateľstva</w:t>
      </w:r>
      <w:bookmarkEnd w:id="7"/>
    </w:p>
    <w:tbl>
      <w:tblPr>
        <w:tblW w:w="897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4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  <w:gridCol w:w="625"/>
      </w:tblGrid>
      <w:tr w:rsidR="005051C8" w:rsidRPr="002D3FDD" w:rsidTr="00443074">
        <w:trPr>
          <w:trHeight w:val="305"/>
        </w:trPr>
        <w:tc>
          <w:tcPr>
            <w:tcW w:w="2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6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 roky alebo menej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5 do 14 rokov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od 15 do 24 rokov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74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25 do 34 rokov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66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od 35 do 49 rokov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97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115</w:t>
            </w:r>
          </w:p>
        </w:tc>
      </w:tr>
      <w:tr w:rsidR="005051C8" w:rsidRPr="002D3FDD" w:rsidTr="00443074">
        <w:trPr>
          <w:trHeight w:val="320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50 do 64 rokov 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78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70</w:t>
            </w:r>
          </w:p>
        </w:tc>
      </w:tr>
      <w:tr w:rsidR="005051C8" w:rsidRPr="002D3FDD" w:rsidTr="00443074">
        <w:trPr>
          <w:trHeight w:val="305"/>
        </w:trPr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65 rokov alebo viac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94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93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90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91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95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102</w:t>
            </w:r>
          </w:p>
        </w:tc>
        <w:tc>
          <w:tcPr>
            <w:tcW w:w="6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106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8" w:name="_Toc453067915"/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5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Veková štruktúra obyvateľstva</w:t>
      </w:r>
      <w:bookmarkEnd w:id="8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center"/>
        <w:rPr>
          <w:rFonts w:cs="Times New Roman"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0B1D874" wp14:editId="11C9921D">
            <wp:extent cx="5715000" cy="2286000"/>
            <wp:effectExtent l="0" t="0" r="0" b="0"/>
            <wp:docPr id="73" name="Graf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0"/>
        </w:rPr>
      </w:pPr>
      <w:r w:rsidRPr="002D3FDD">
        <w:rPr>
          <w:rFonts w:cs="Times New Roman"/>
          <w:i/>
          <w:sz w:val="20"/>
          <w:szCs w:val="20"/>
        </w:rPr>
        <w:t>Zdroj: ŠÚ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keepNext/>
        <w:spacing w:line="276" w:lineRule="auto"/>
        <w:ind w:firstLine="708"/>
        <w:jc w:val="both"/>
        <w:rPr>
          <w:rFonts w:asciiTheme="minorHAnsi" w:hAnsiTheme="minorHAnsi" w:cs="Times New Roman"/>
          <w:i w:val="0"/>
          <w:sz w:val="24"/>
          <w:szCs w:val="24"/>
        </w:rPr>
      </w:pPr>
      <w:r w:rsidRPr="002D3FDD">
        <w:rPr>
          <w:rFonts w:asciiTheme="minorHAnsi" w:hAnsiTheme="minorHAnsi" w:cs="Times New Roman"/>
          <w:i w:val="0"/>
          <w:sz w:val="24"/>
          <w:szCs w:val="24"/>
        </w:rPr>
        <w:t>Pri rozdelení obyvateľov z hľadiska vekovej štruktúry podľa pohlavia obyvateľstva v roku 2015 bolo najviac žien vo vekovej kategórii nad 65 rokov (62 žien) a najviac mužov v kategórií od 35 do 49 rokov (67 mužov). Najvýraznejší pokles ženského obyvateľstva je viditeľný vo vekovom intervale od 5 do 14 rokov, kde od roku 2005 do roku 2015 klesol počet žien o 21. U mužov nastal najväčší pokles v kategórii od 25 do 34 rokov (o 17 mužov menej) a najväčší nárast o 20 mužov v skupine od 35 do 49 rokov.</w:t>
      </w:r>
    </w:p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i w:val="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9" w:name="_Toc453067881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7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Vekové zloženie obyvateľstva podľa skupín podľa stavu k 31.12.-Muži a Ženy</w:t>
      </w:r>
      <w:bookmarkEnd w:id="9"/>
    </w:p>
    <w:tbl>
      <w:tblPr>
        <w:tblW w:w="9567" w:type="dxa"/>
        <w:tblInd w:w="-35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3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  <w:gridCol w:w="427"/>
      </w:tblGrid>
      <w:tr w:rsidR="005051C8" w:rsidRPr="002D3FDD" w:rsidTr="00443074">
        <w:trPr>
          <w:trHeight w:val="230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52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2005</w:t>
            </w:r>
          </w:p>
        </w:tc>
        <w:tc>
          <w:tcPr>
            <w:tcW w:w="752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2006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2007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2008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2009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2010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2011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2012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2013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2014</w:t>
            </w:r>
          </w:p>
        </w:tc>
        <w:tc>
          <w:tcPr>
            <w:tcW w:w="75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cantSplit/>
          <w:trHeight w:val="1134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3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color w:val="000000"/>
                <w:sz w:val="20"/>
                <w:szCs w:val="20"/>
                <w:lang w:eastAsia="sk-SK"/>
              </w:rPr>
              <w:t>ženy</w:t>
            </w:r>
          </w:p>
        </w:tc>
      </w:tr>
      <w:tr w:rsidR="005051C8" w:rsidRPr="002D3FDD" w:rsidTr="00443074">
        <w:trPr>
          <w:trHeight w:val="448"/>
        </w:trPr>
        <w:tc>
          <w:tcPr>
            <w:tcW w:w="131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4 roky alebo menej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5051C8" w:rsidRPr="002D3FDD" w:rsidTr="00443074">
        <w:trPr>
          <w:trHeight w:val="483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5 do 14 rokov 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21</w:t>
            </w:r>
          </w:p>
        </w:tc>
      </w:tr>
      <w:tr w:rsidR="005051C8" w:rsidRPr="002D3FDD" w:rsidTr="00443074">
        <w:trPr>
          <w:trHeight w:val="483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od 15 do 24 rokov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</w:tr>
      <w:tr w:rsidR="005051C8" w:rsidRPr="002D3FDD" w:rsidTr="00443074">
        <w:trPr>
          <w:trHeight w:val="483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25 do 34 rokov 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</w:tr>
      <w:tr w:rsidR="005051C8" w:rsidRPr="002D3FDD" w:rsidTr="00443074">
        <w:trPr>
          <w:trHeight w:val="483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od 35 do 49 rokov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</w:t>
            </w:r>
          </w:p>
        </w:tc>
      </w:tr>
      <w:tr w:rsidR="005051C8" w:rsidRPr="002D3FDD" w:rsidTr="00443074">
        <w:trPr>
          <w:trHeight w:val="483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od 50 do 64 rokov 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39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</w:tr>
      <w:tr w:rsidR="005051C8" w:rsidRPr="002D3FDD" w:rsidTr="00443074">
        <w:trPr>
          <w:trHeight w:val="460"/>
        </w:trPr>
        <w:tc>
          <w:tcPr>
            <w:tcW w:w="13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65 rokov alebo viac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59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56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33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57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35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44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i w:val="0"/>
          <w:szCs w:val="24"/>
        </w:rPr>
      </w:pPr>
      <w:bookmarkStart w:id="10" w:name="_Toc453067916"/>
      <w:r w:rsidRPr="002D3FDD">
        <w:rPr>
          <w:rFonts w:asciiTheme="minorHAnsi" w:hAnsiTheme="minorHAnsi" w:cs="Times New Roman"/>
          <w:szCs w:val="24"/>
        </w:rPr>
        <w:lastRenderedPageBreak/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6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Vekoví zloženie obyvateľstva podľa skupín podľa stavu k 31.12.</w:t>
      </w:r>
      <w:bookmarkEnd w:id="10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7CF7304F" wp14:editId="3205355F">
            <wp:extent cx="5562600" cy="2505075"/>
            <wp:effectExtent l="0" t="0" r="0" b="9525"/>
            <wp:docPr id="74" name="Graf 7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keepNext/>
        <w:spacing w:line="276" w:lineRule="auto"/>
        <w:ind w:firstLine="708"/>
        <w:jc w:val="both"/>
        <w:rPr>
          <w:rFonts w:asciiTheme="minorHAnsi" w:hAnsiTheme="minorHAnsi" w:cs="Times New Roman"/>
          <w:i w:val="0"/>
          <w:sz w:val="24"/>
          <w:szCs w:val="24"/>
        </w:rPr>
      </w:pPr>
      <w:r w:rsidRPr="002D3FDD">
        <w:rPr>
          <w:rFonts w:asciiTheme="minorHAnsi" w:hAnsiTheme="minorHAnsi" w:cs="Times New Roman"/>
          <w:i w:val="0"/>
          <w:sz w:val="24"/>
          <w:szCs w:val="24"/>
        </w:rPr>
        <w:t>Vo vzdelanostnej štruktúre obyvateľov obce Hrubov prevláda nižšie vzdelanie, a to hlavne základné vzdelanie v počte 138 (46 mužov, 92 žien), čo je 28 % obyvateľstva. Nasleduje skupina obyvateľov bez školského vzdelania v počte 89, kde však väčšinu z tohto počtu tvoria deti, ktoré pravdepodobne budú vo vzdelávaní pokračovať. Ďalšími veľkými skupinami obyvateľov obce sú stredoškolsky vzdelaní obyvatelia bez maturity: učňovské vzdelanie (77 obyvateľov), stredné odborné vzdelanie (71 obyvateľov). Počtom nasledujúca vzdelanostná skupina sú obyvatelia s úplným stredným odborným vzdelaním s maturitou (62 obyvateľov). Vysokoškolsky vzdelaných obyvateľov má obec v počte 18 (5 vysokoškolsky vzdelaných mužov, 13 vysokoškolsky vzdelaných žien). Bakalárske štúdium ukončilo 8 obyvateľov, z toho 1 muž a 7 žien. Druhý stupeň vysokoškolského vzdelania (magisterské, inžinierske, doktorské) ukončilo 10 obyvateľov obce, z toho 4 muži a 6 žien.</w:t>
      </w:r>
    </w:p>
    <w:p w:rsidR="005051C8" w:rsidRPr="002D3FDD" w:rsidRDefault="005051C8" w:rsidP="005051C8"/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1" w:name="_Toc453067882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8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Obyvateľstvo podľa vzdelania SOBD z roku 2011</w:t>
      </w:r>
      <w:bookmarkEnd w:id="11"/>
    </w:p>
    <w:tbl>
      <w:tblPr>
        <w:tblW w:w="890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32"/>
        <w:gridCol w:w="1481"/>
        <w:gridCol w:w="1559"/>
        <w:gridCol w:w="1335"/>
      </w:tblGrid>
      <w:tr w:rsidR="005051C8" w:rsidRPr="002D3FDD" w:rsidTr="00443074">
        <w:trPr>
          <w:trHeight w:val="618"/>
          <w:jc w:val="center"/>
        </w:trPr>
        <w:tc>
          <w:tcPr>
            <w:tcW w:w="45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Najvyššie dosiahnuté vzdelanie</w:t>
            </w:r>
          </w:p>
        </w:tc>
        <w:tc>
          <w:tcPr>
            <w:tcW w:w="3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Pohlavie</w:t>
            </w:r>
          </w:p>
        </w:tc>
        <w:tc>
          <w:tcPr>
            <w:tcW w:w="13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5051C8" w:rsidRPr="002D3FDD" w:rsidTr="00443074">
        <w:trPr>
          <w:trHeight w:val="308"/>
          <w:jc w:val="center"/>
        </w:trPr>
        <w:tc>
          <w:tcPr>
            <w:tcW w:w="45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13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Základné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92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138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Učňovské (bez maturity)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Stredné odborné (bez maturity)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28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71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Úplné stredné učňovské (s maturitou)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Úplné stredné odborné (s maturitou)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36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62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Úplné stredné všeobecné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Vyššie odborné vzdelanie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Vysokoškolské bakalárske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Vysokoškolské magisterské, inžinierske, doktorské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Vysokoškolské spolu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Bez školského vzdelania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47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89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Nezistené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</w:tr>
      <w:tr w:rsidR="005051C8" w:rsidRPr="002D3FDD" w:rsidTr="00443074">
        <w:trPr>
          <w:trHeight w:val="687"/>
          <w:jc w:val="center"/>
        </w:trPr>
        <w:tc>
          <w:tcPr>
            <w:tcW w:w="45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Úhrn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</w:t>
            </w:r>
          </w:p>
        </w:tc>
        <w:tc>
          <w:tcPr>
            <w:tcW w:w="13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490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ind w:firstLine="708"/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Čo sa týka zamerania vysokoškolského vzdelania, najviac zastúpeným je študijný odbor spoločenské vedy, náuky a služby (2 muži, 8 žien). Pre lepší prehľad sú v nasledujúcej tabuľke spoločenské vedy, náuky a služby rozdelené do dvoch skupín.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rPr>
          <w:rFonts w:asciiTheme="minorHAnsi" w:hAnsiTheme="minorHAnsi" w:cs="Times New Roman"/>
          <w:i w:val="0"/>
          <w:color w:val="FF0000"/>
          <w:sz w:val="24"/>
          <w:szCs w:val="24"/>
        </w:rPr>
      </w:pPr>
      <w:bookmarkStart w:id="12" w:name="_Toc453067883"/>
      <w:r w:rsidRPr="002D3FDD">
        <w:rPr>
          <w:rFonts w:asciiTheme="minorHAnsi" w:hAnsiTheme="minorHAnsi"/>
        </w:rPr>
        <w:t xml:space="preserve">Tabuľka </w:t>
      </w:r>
      <w:r w:rsidRPr="002D3FDD">
        <w:rPr>
          <w:rFonts w:asciiTheme="minorHAnsi" w:hAnsiTheme="minorHAnsi"/>
        </w:rPr>
        <w:fldChar w:fldCharType="begin"/>
      </w:r>
      <w:r w:rsidRPr="002D3FDD">
        <w:rPr>
          <w:rFonts w:asciiTheme="minorHAnsi" w:hAnsiTheme="minorHAnsi"/>
        </w:rPr>
        <w:instrText xml:space="preserve"> SEQ Tabuľka \* ARABIC </w:instrText>
      </w:r>
      <w:r w:rsidRPr="002D3FDD">
        <w:rPr>
          <w:rFonts w:asciiTheme="minorHAnsi" w:hAnsiTheme="minorHAnsi"/>
        </w:rPr>
        <w:fldChar w:fldCharType="separate"/>
      </w:r>
      <w:r w:rsidRPr="002D3FDD">
        <w:rPr>
          <w:rFonts w:asciiTheme="minorHAnsi" w:hAnsiTheme="minorHAnsi"/>
          <w:noProof/>
        </w:rPr>
        <w:t>9</w:t>
      </w:r>
      <w:r w:rsidRPr="002D3FDD">
        <w:rPr>
          <w:rFonts w:asciiTheme="minorHAnsi" w:hAnsiTheme="minorHAnsi"/>
          <w:noProof/>
        </w:rPr>
        <w:fldChar w:fldCharType="end"/>
      </w:r>
      <w:r w:rsidRPr="002D3FDD">
        <w:rPr>
          <w:rFonts w:asciiTheme="minorHAnsi" w:hAnsiTheme="minorHAnsi"/>
        </w:rPr>
        <w:t xml:space="preserve"> Rozdelenie vysokoškolsky vzdelaných obyvateľov obce podľa študijných odborov</w:t>
      </w:r>
      <w:bookmarkEnd w:id="12"/>
    </w:p>
    <w:tbl>
      <w:tblPr>
        <w:tblW w:w="893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8"/>
        <w:gridCol w:w="5380"/>
        <w:gridCol w:w="864"/>
        <w:gridCol w:w="864"/>
        <w:gridCol w:w="864"/>
      </w:tblGrid>
      <w:tr w:rsidR="005051C8" w:rsidRPr="002D3FDD" w:rsidTr="00443074">
        <w:trPr>
          <w:trHeight w:val="193"/>
          <w:jc w:val="center"/>
        </w:trPr>
        <w:tc>
          <w:tcPr>
            <w:tcW w:w="633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Vysokoškolské vzdelanie spolu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muži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ženy</w:t>
            </w:r>
          </w:p>
        </w:tc>
        <w:tc>
          <w:tcPr>
            <w:tcW w:w="8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Spolu</w:t>
            </w:r>
          </w:p>
        </w:tc>
      </w:tr>
      <w:tr w:rsidR="005051C8" w:rsidRPr="002D3FDD" w:rsidTr="00443074">
        <w:trPr>
          <w:trHeight w:val="203"/>
          <w:jc w:val="center"/>
        </w:trPr>
        <w:tc>
          <w:tcPr>
            <w:tcW w:w="633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5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13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18</w:t>
            </w:r>
          </w:p>
        </w:tc>
      </w:tr>
      <w:tr w:rsidR="005051C8" w:rsidRPr="002D3FDD" w:rsidTr="00443074">
        <w:trPr>
          <w:trHeight w:val="807"/>
          <w:jc w:val="center"/>
        </w:trPr>
        <w:tc>
          <w:tcPr>
            <w:tcW w:w="9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E7E6E6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Študijný odbor</w:t>
            </w:r>
          </w:p>
        </w:tc>
        <w:tc>
          <w:tcPr>
            <w:tcW w:w="5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technické vedy a náuky I (baníctvo, hutníctvo, strojárstvo, informatika a VT,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elektrotech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.,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tech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. chémia, potravinárstvo)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1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807"/>
          <w:jc w:val="center"/>
        </w:trPr>
        <w:tc>
          <w:tcPr>
            <w:tcW w:w="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</w:p>
        </w:tc>
        <w:tc>
          <w:tcPr>
            <w:tcW w:w="5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poľnohospodársko-lesnícke a veterinárne vedy a náuky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807"/>
          <w:jc w:val="center"/>
        </w:trPr>
        <w:tc>
          <w:tcPr>
            <w:tcW w:w="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</w:p>
        </w:tc>
        <w:tc>
          <w:tcPr>
            <w:tcW w:w="5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zdravotníctvo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3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3</w:t>
            </w:r>
          </w:p>
        </w:tc>
      </w:tr>
      <w:tr w:rsidR="005051C8" w:rsidRPr="002D3FDD" w:rsidTr="00443074">
        <w:trPr>
          <w:trHeight w:val="807"/>
          <w:jc w:val="center"/>
        </w:trPr>
        <w:tc>
          <w:tcPr>
            <w:tcW w:w="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</w:p>
        </w:tc>
        <w:tc>
          <w:tcPr>
            <w:tcW w:w="5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spoločenské vedy, náuky a služby I (filozof.,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ekon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.,polit. a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práv.vedy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, ekonomika a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manaž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., obchod a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služby,SŠ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- OA, HA, praktická š.,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učeb.odb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.)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6</w:t>
            </w:r>
          </w:p>
        </w:tc>
      </w:tr>
      <w:tr w:rsidR="005051C8" w:rsidRPr="002D3FDD" w:rsidTr="00443074">
        <w:trPr>
          <w:trHeight w:val="807"/>
          <w:jc w:val="center"/>
        </w:trPr>
        <w:tc>
          <w:tcPr>
            <w:tcW w:w="9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</w:p>
        </w:tc>
        <w:tc>
          <w:tcPr>
            <w:tcW w:w="5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spoločenské vedy, náuky a služby II (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histor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.,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filolog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.,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pedag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. a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psych.vedy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, publicistika a informácie,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telových.,učiteľstvo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 xml:space="preserve">, SŠ - </w:t>
            </w:r>
            <w:proofErr w:type="spellStart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gym</w:t>
            </w:r>
            <w:proofErr w:type="spellEnd"/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.)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86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rPr>
          <w:rFonts w:asciiTheme="minorHAnsi" w:hAnsiTheme="minorHAnsi" w:cs="Times New Roman"/>
          <w:i w:val="0"/>
          <w:color w:val="FF0000"/>
          <w:sz w:val="24"/>
          <w:szCs w:val="24"/>
        </w:rPr>
      </w:pPr>
      <w:bookmarkStart w:id="13" w:name="_Toc453067917"/>
      <w:r w:rsidRPr="002D3FDD">
        <w:rPr>
          <w:rFonts w:asciiTheme="minorHAnsi" w:hAnsiTheme="minorHAnsi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 wp14:anchorId="0CDD3BEE" wp14:editId="1E50D8B4">
            <wp:simplePos x="0" y="0"/>
            <wp:positionH relativeFrom="column">
              <wp:posOffset>5715</wp:posOffset>
            </wp:positionH>
            <wp:positionV relativeFrom="paragraph">
              <wp:posOffset>299720</wp:posOffset>
            </wp:positionV>
            <wp:extent cx="5657850" cy="4133850"/>
            <wp:effectExtent l="0" t="0" r="0" b="0"/>
            <wp:wrapTopAndBottom/>
            <wp:docPr id="75" name="Graf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Pr="002D3FDD">
        <w:rPr>
          <w:rFonts w:asciiTheme="minorHAnsi" w:hAnsiTheme="minorHAnsi"/>
        </w:rPr>
        <w:t xml:space="preserve">Graf </w:t>
      </w:r>
      <w:r w:rsidRPr="002D3FDD">
        <w:rPr>
          <w:rFonts w:asciiTheme="minorHAnsi" w:hAnsiTheme="minorHAnsi"/>
        </w:rPr>
        <w:fldChar w:fldCharType="begin"/>
      </w:r>
      <w:r w:rsidRPr="002D3FDD">
        <w:rPr>
          <w:rFonts w:asciiTheme="minorHAnsi" w:hAnsiTheme="minorHAnsi"/>
        </w:rPr>
        <w:instrText xml:space="preserve"> SEQ Graf \* ARABIC </w:instrText>
      </w:r>
      <w:r w:rsidRPr="002D3FDD">
        <w:rPr>
          <w:rFonts w:asciiTheme="minorHAnsi" w:hAnsiTheme="minorHAnsi"/>
        </w:rPr>
        <w:fldChar w:fldCharType="separate"/>
      </w:r>
      <w:r w:rsidRPr="002D3FDD">
        <w:rPr>
          <w:rFonts w:asciiTheme="minorHAnsi" w:hAnsiTheme="minorHAnsi"/>
          <w:noProof/>
        </w:rPr>
        <w:t>7</w:t>
      </w:r>
      <w:r w:rsidRPr="002D3FDD">
        <w:rPr>
          <w:rFonts w:asciiTheme="minorHAnsi" w:hAnsiTheme="minorHAnsi"/>
          <w:noProof/>
        </w:rPr>
        <w:fldChar w:fldCharType="end"/>
      </w:r>
      <w:r w:rsidRPr="002D3FDD">
        <w:rPr>
          <w:rFonts w:asciiTheme="minorHAnsi" w:hAnsiTheme="minorHAnsi"/>
        </w:rPr>
        <w:t xml:space="preserve"> Prehľad vzdelanostnej štruktúry obce Hrubov - SOBD 2011</w:t>
      </w:r>
      <w:bookmarkEnd w:id="13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4" w:name="_Toc453067918"/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8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Obyvateľstvo podľa vzdelania SOBD z roku 2011</w:t>
      </w:r>
      <w:bookmarkEnd w:id="14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center"/>
        <w:rPr>
          <w:rFonts w:cs="Times New Roman"/>
          <w:i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1E96308F" wp14:editId="02D19626">
            <wp:extent cx="5562600" cy="4667250"/>
            <wp:effectExtent l="0" t="0" r="0" b="0"/>
            <wp:docPr id="76" name="Graf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ind w:firstLine="708"/>
        <w:jc w:val="both"/>
        <w:rPr>
          <w:rFonts w:asciiTheme="minorHAnsi" w:hAnsiTheme="minorHAnsi" w:cs="Times New Roman"/>
          <w:i w:val="0"/>
          <w:sz w:val="24"/>
          <w:szCs w:val="24"/>
        </w:rPr>
      </w:pPr>
      <w:r w:rsidRPr="002D3FDD">
        <w:rPr>
          <w:rFonts w:asciiTheme="minorHAnsi" w:hAnsiTheme="minorHAnsi" w:cs="Times New Roman"/>
          <w:i w:val="0"/>
          <w:sz w:val="24"/>
          <w:szCs w:val="24"/>
        </w:rPr>
        <w:t xml:space="preserve">Národnostná štruktúra v obci Hrubov je jednoznačná, prezentovaná 98% obyvateľmi obce hlásiacimi sa k slovenskej národnosti. U 10 (2%) obyvateľov sa národnosť nepodarila zistiť. Národnosť bola nezistená u 5 mužov a 5 žien.  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i w:val="0"/>
          <w:sz w:val="24"/>
          <w:szCs w:val="24"/>
        </w:rPr>
      </w:pPr>
      <w:bookmarkStart w:id="15" w:name="_Toc453067884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10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Zloženie obyvateľstva podľa národnosti SOBD z roku 2011</w:t>
      </w:r>
      <w:bookmarkEnd w:id="15"/>
    </w:p>
    <w:tbl>
      <w:tblPr>
        <w:tblW w:w="904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88"/>
        <w:gridCol w:w="2020"/>
        <w:gridCol w:w="2020"/>
        <w:gridCol w:w="2020"/>
      </w:tblGrid>
      <w:tr w:rsidR="005051C8" w:rsidRPr="002D3FDD" w:rsidTr="00443074">
        <w:trPr>
          <w:trHeight w:val="329"/>
          <w:jc w:val="center"/>
        </w:trPr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Národnosť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</w:tr>
      <w:tr w:rsidR="005051C8" w:rsidRPr="002D3FDD" w:rsidTr="00443074">
        <w:trPr>
          <w:trHeight w:val="329"/>
          <w:jc w:val="center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Slovenská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232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248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480</w:t>
            </w:r>
          </w:p>
        </w:tc>
      </w:tr>
      <w:tr w:rsidR="005051C8" w:rsidRPr="002D3FDD" w:rsidTr="00443074">
        <w:trPr>
          <w:trHeight w:val="329"/>
          <w:jc w:val="center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Nezistená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</w:tr>
      <w:tr w:rsidR="005051C8" w:rsidRPr="002D3FDD" w:rsidTr="00443074">
        <w:trPr>
          <w:trHeight w:val="329"/>
          <w:jc w:val="center"/>
        </w:trPr>
        <w:tc>
          <w:tcPr>
            <w:tcW w:w="2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237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253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490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/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6" w:name="_Toc453067919"/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9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Prehľad národnostného zloženia obce</w:t>
      </w:r>
      <w:bookmarkEnd w:id="16"/>
    </w:p>
    <w:p w:rsidR="005051C8" w:rsidRPr="002D3FDD" w:rsidRDefault="005051C8" w:rsidP="005051C8">
      <w:pPr>
        <w:rPr>
          <w:rFonts w:cs="Times New Roman"/>
          <w:i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 wp14:anchorId="3D79EC1F" wp14:editId="09644393">
            <wp:extent cx="5715000" cy="2247900"/>
            <wp:effectExtent l="0" t="0" r="0" b="0"/>
            <wp:docPr id="77" name="Graf 7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 w:cs="Times New Roman"/>
          <w:sz w:val="24"/>
          <w:szCs w:val="24"/>
        </w:rPr>
      </w:pPr>
      <w:bookmarkStart w:id="17" w:name="_GoBack"/>
      <w:r w:rsidRPr="002D3FDD">
        <w:rPr>
          <w:rFonts w:eastAsia="Times New Roman" w:cs="Times New Roman"/>
          <w:sz w:val="24"/>
          <w:szCs w:val="24"/>
        </w:rPr>
        <w:t xml:space="preserve">Jednoznačná je aj náboženská štruktúra obyvateľov obce Hrubov, keďže 478 (98%) </w:t>
      </w:r>
      <w:bookmarkEnd w:id="17"/>
      <w:r w:rsidRPr="002D3FDD">
        <w:rPr>
          <w:rFonts w:eastAsia="Times New Roman" w:cs="Times New Roman"/>
          <w:sz w:val="24"/>
          <w:szCs w:val="24"/>
        </w:rPr>
        <w:t xml:space="preserve">obyvateľov obce sa hlási k rímskokatolíckemu vierovyznaniu. V obci sú zastúpené ešte dve náboženstvá, a to gréckokatolícke (k nemu sa hlásia 2 obyvateľky) a pravoslávne (k nemu sa hlási 1 obyvateľka). U 9 obyvateľov sa ich vierovyznanie nepodarilo zistiť (4 muži, 5 žien). 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b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b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8" w:name="_Toc453067885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11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Obyvateľstvo podľa náboženského vyznania SOBD z roku 2011</w:t>
      </w:r>
      <w:bookmarkEnd w:id="18"/>
    </w:p>
    <w:tbl>
      <w:tblPr>
        <w:tblW w:w="885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15"/>
        <w:gridCol w:w="1580"/>
        <w:gridCol w:w="1580"/>
        <w:gridCol w:w="1580"/>
      </w:tblGrid>
      <w:tr w:rsidR="005051C8" w:rsidRPr="002D3FDD" w:rsidTr="00443074">
        <w:trPr>
          <w:trHeight w:val="316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Náboženské vyznanie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Muži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Ženy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Spolu</w:t>
            </w:r>
          </w:p>
        </w:tc>
      </w:tr>
      <w:tr w:rsidR="005051C8" w:rsidRPr="002D3FDD" w:rsidTr="00443074">
        <w:trPr>
          <w:trHeight w:val="316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Rímskokatolícka cirkev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245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478</w:t>
            </w:r>
          </w:p>
        </w:tc>
      </w:tr>
      <w:tr w:rsidR="005051C8" w:rsidRPr="002D3FDD" w:rsidTr="00443074">
        <w:trPr>
          <w:trHeight w:val="316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Gréckokatolícka cirkev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316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Pravoslávna cirkev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316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Nezistené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9</w:t>
            </w:r>
          </w:p>
        </w:tc>
      </w:tr>
      <w:tr w:rsidR="005051C8" w:rsidRPr="002D3FDD" w:rsidTr="00443074">
        <w:trPr>
          <w:trHeight w:val="316"/>
        </w:trPr>
        <w:tc>
          <w:tcPr>
            <w:tcW w:w="41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Spolu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237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253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490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19" w:name="_Toc453067920"/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10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Prehľad evidovaného vierovyznania v obci</w:t>
      </w:r>
      <w:bookmarkEnd w:id="19"/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center"/>
        <w:rPr>
          <w:rFonts w:eastAsia="Times New Roman" w:cs="Times New Roman"/>
          <w:i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66810E81" wp14:editId="00165C3C">
            <wp:extent cx="5705475" cy="2171700"/>
            <wp:effectExtent l="0" t="0" r="9525" b="0"/>
            <wp:docPr id="78" name="Graf 7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i/>
          <w:sz w:val="20"/>
          <w:szCs w:val="24"/>
        </w:rPr>
      </w:pPr>
      <w:r w:rsidRPr="002D3FDD">
        <w:rPr>
          <w:rFonts w:eastAsia="Times New Roman" w:cs="Times New Roman"/>
          <w:i/>
          <w:sz w:val="20"/>
          <w:szCs w:val="24"/>
        </w:rPr>
        <w:t>Zdroj: SOBD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autoSpaceDE w:val="0"/>
        <w:autoSpaceDN w:val="0"/>
        <w:adjustRightInd w:val="0"/>
        <w:spacing w:after="0"/>
        <w:ind w:firstLine="708"/>
        <w:jc w:val="both"/>
        <w:rPr>
          <w:rFonts w:eastAsia="Times New Roman" w:cs="Times New Roman"/>
          <w:sz w:val="24"/>
          <w:szCs w:val="24"/>
        </w:rPr>
      </w:pPr>
      <w:r w:rsidRPr="002D3FDD">
        <w:rPr>
          <w:rFonts w:eastAsia="Times New Roman" w:cs="Times New Roman"/>
          <w:sz w:val="24"/>
          <w:szCs w:val="24"/>
        </w:rPr>
        <w:t xml:space="preserve">Rozloženie obyvateľstva podľa ekonomickej aktivity je zobrazené v tabuľke  nižšie. Ekonomicky aktívnych obyvateľov podľa SOBD z roku 2011 v obci Hrubov 195, z toho 118 mužov a 77 žien. Z toho 1 obyvateľka bola na materskej dovolenke a 3 obyvateľky zaradené medzi pracujúcich dôchodcov. Nezamestnaných v tomto roku bolo zaznamenaných 30, z toho 21 mužov a 9 žien. Ďalej tu patrí 1 vypomáhajúci (neplatený) člen domácnosti v rodinnom podniku, 11 žien na rodičovskej dovolenke, 148 nepracujúcich dôchodcov (59 mužov, 89 žien) a 3 ostatní nezávislí. K závislým osobám v obci Hrubov patrilo spolu 124 obyvateľov (55 mužov, 69 žien). Tu patrí 88 detí do 16 rokov, 26 študentov stredných škôl a 10 študentov vysokých škôl.  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0" w:name="_Toc453067886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12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Obyvateľstvo podľa súčasnej ekonomickej aktivity, pohlavia SOBD z roku 2011</w:t>
      </w:r>
      <w:bookmarkEnd w:id="20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55"/>
        <w:gridCol w:w="547"/>
        <w:gridCol w:w="596"/>
        <w:gridCol w:w="672"/>
        <w:gridCol w:w="833"/>
        <w:gridCol w:w="644"/>
        <w:gridCol w:w="679"/>
        <w:gridCol w:w="556"/>
        <w:gridCol w:w="606"/>
        <w:gridCol w:w="427"/>
        <w:gridCol w:w="445"/>
        <w:gridCol w:w="427"/>
        <w:gridCol w:w="450"/>
        <w:gridCol w:w="553"/>
        <w:gridCol w:w="427"/>
        <w:gridCol w:w="445"/>
      </w:tblGrid>
      <w:tr w:rsidR="005051C8" w:rsidRPr="002D3FDD" w:rsidTr="00443074">
        <w:trPr>
          <w:trHeight w:val="706"/>
          <w:jc w:val="center"/>
        </w:trPr>
        <w:tc>
          <w:tcPr>
            <w:tcW w:w="42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Pohlavie</w:t>
            </w:r>
          </w:p>
        </w:tc>
        <w:tc>
          <w:tcPr>
            <w:tcW w:w="22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Osoby ekonomicky aktívne</w:t>
            </w:r>
          </w:p>
        </w:tc>
        <w:tc>
          <w:tcPr>
            <w:tcW w:w="3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Osoby na rodičovskej dovolenke</w:t>
            </w:r>
          </w:p>
        </w:tc>
        <w:tc>
          <w:tcPr>
            <w:tcW w:w="3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Nepracujúci dôchodcovia</w:t>
            </w:r>
          </w:p>
        </w:tc>
        <w:tc>
          <w:tcPr>
            <w:tcW w:w="2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Ostatní nezávislí</w:t>
            </w:r>
          </w:p>
        </w:tc>
        <w:tc>
          <w:tcPr>
            <w:tcW w:w="1026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Osoby závislé</w:t>
            </w:r>
          </w:p>
        </w:tc>
        <w:tc>
          <w:tcPr>
            <w:tcW w:w="2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Ostatní závislí, nezistení</w:t>
            </w:r>
          </w:p>
        </w:tc>
        <w:tc>
          <w:tcPr>
            <w:tcW w:w="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Úhrn obyvateľstva</w:t>
            </w:r>
          </w:p>
        </w:tc>
      </w:tr>
      <w:tr w:rsidR="005051C8" w:rsidRPr="002D3FDD" w:rsidTr="00443074">
        <w:trPr>
          <w:trHeight w:val="419"/>
          <w:jc w:val="center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0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20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119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 toho</w:t>
            </w:r>
          </w:p>
        </w:tc>
        <w:tc>
          <w:tcPr>
            <w:tcW w:w="37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vypomáhajúci (neplatení) členovia domácností v rodinných podnikoch</w:t>
            </w: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78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 tom</w:t>
            </w: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3082"/>
          <w:jc w:val="center"/>
        </w:trPr>
        <w:tc>
          <w:tcPr>
            <w:tcW w:w="42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0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20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osoby na materskej dovolenke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pracujúci dôchodcovia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nezamestnaní</w:t>
            </w:r>
          </w:p>
        </w:tc>
        <w:tc>
          <w:tcPr>
            <w:tcW w:w="37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3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deti do 16 rokov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študenti stredných škôl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študenti vysokých škôl</w:t>
            </w:r>
          </w:p>
        </w:tc>
        <w:tc>
          <w:tcPr>
            <w:tcW w:w="22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  <w:tc>
          <w:tcPr>
            <w:tcW w:w="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FF0000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419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118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60,5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55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42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237</w:t>
            </w:r>
          </w:p>
        </w:tc>
      </w:tr>
      <w:tr w:rsidR="005051C8" w:rsidRPr="002D3FDD" w:rsidTr="00443074">
        <w:trPr>
          <w:trHeight w:val="373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77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39,5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89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69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46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253</w:t>
            </w:r>
          </w:p>
        </w:tc>
      </w:tr>
      <w:tr w:rsidR="005051C8" w:rsidRPr="002D3FDD" w:rsidTr="00443074">
        <w:trPr>
          <w:trHeight w:val="445"/>
          <w:jc w:val="center"/>
        </w:trPr>
        <w:tc>
          <w:tcPr>
            <w:tcW w:w="42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30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195</w:t>
            </w:r>
          </w:p>
        </w:tc>
        <w:tc>
          <w:tcPr>
            <w:tcW w:w="32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100,0</w:t>
            </w:r>
          </w:p>
        </w:tc>
        <w:tc>
          <w:tcPr>
            <w:tcW w:w="37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3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148</w:t>
            </w:r>
          </w:p>
        </w:tc>
        <w:tc>
          <w:tcPr>
            <w:tcW w:w="2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124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88</w:t>
            </w:r>
          </w:p>
        </w:tc>
        <w:tc>
          <w:tcPr>
            <w:tcW w:w="25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26</w:t>
            </w:r>
          </w:p>
        </w:tc>
        <w:tc>
          <w:tcPr>
            <w:tcW w:w="3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2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490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jc w:val="both"/>
        <w:rPr>
          <w:rFonts w:cs="Times New Roman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 xml:space="preserve">Z nasledujúceho tabuľkového zobrazenia vieme vyčítať počet ekonomicky aktívneho obyvateľstva obce z roku 2011 rozdeleného podľa veku, podľa postavenia v zamestnaní a podľa pohlavia. Podľa postavenia v zamestnaní delíme obyvateľov obce na zamestnancov, podnikateľov (bez zamestnancov, so zamestnancami), členov družstiev a vypomáhajúcich členov domácnosti v rodinných podnikoch. Podľa SOBD 2011 bolo v obci 148 zamestnancov (81 mužov, 67 žien), čo tvorí 75,9%  obyvateľov. Ku podnikateľom patria 4 podnikatelia so zamestnancami a 24 podnikateľov bez zamestnancov. </w:t>
      </w:r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1" w:name="_Toc453067887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13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Obyvateľstvo ekonomicky aktívne podľa postavenia v zamestnaní, veku a pohlavia SOBD z roku 2011</w:t>
      </w:r>
      <w:bookmarkEnd w:id="21"/>
    </w:p>
    <w:tbl>
      <w:tblPr>
        <w:tblW w:w="9141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62"/>
        <w:gridCol w:w="583"/>
        <w:gridCol w:w="604"/>
        <w:gridCol w:w="1637"/>
        <w:gridCol w:w="1659"/>
        <w:gridCol w:w="709"/>
        <w:gridCol w:w="1417"/>
        <w:gridCol w:w="567"/>
        <w:gridCol w:w="1203"/>
      </w:tblGrid>
      <w:tr w:rsidR="005051C8" w:rsidRPr="002D3FDD" w:rsidTr="00443074">
        <w:trPr>
          <w:trHeight w:val="300"/>
        </w:trPr>
        <w:tc>
          <w:tcPr>
            <w:tcW w:w="134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Vek, pohlavie</w:t>
            </w:r>
          </w:p>
        </w:tc>
        <w:tc>
          <w:tcPr>
            <w:tcW w:w="659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sz w:val="20"/>
                <w:szCs w:val="20"/>
                <w:lang w:eastAsia="sk-SK"/>
              </w:rPr>
              <w:t>Postavenie v zamestnaní</w:t>
            </w:r>
          </w:p>
        </w:tc>
        <w:tc>
          <w:tcPr>
            <w:tcW w:w="12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E5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Ekonomicky aktívni spolu</w:t>
            </w:r>
          </w:p>
        </w:tc>
      </w:tr>
      <w:tr w:rsidR="005051C8" w:rsidRPr="002D3FDD" w:rsidTr="00443074">
        <w:trPr>
          <w:trHeight w:val="300"/>
        </w:trPr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</w:p>
        </w:tc>
        <w:tc>
          <w:tcPr>
            <w:tcW w:w="6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zamestnanci</w:t>
            </w:r>
          </w:p>
        </w:tc>
        <w:tc>
          <w:tcPr>
            <w:tcW w:w="329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podnikatelia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členovia družstiev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vypomáhajúci (neplatení) členovia domácností v rodinných podnikoch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textDirection w:val="btLr"/>
            <w:vAlign w:val="center"/>
            <w:hideMark/>
          </w:tcPr>
          <w:p w:rsidR="005051C8" w:rsidRPr="002D3FDD" w:rsidRDefault="005051C8" w:rsidP="00443074">
            <w:pPr>
              <w:spacing w:after="0"/>
              <w:ind w:left="113" w:right="113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ostatní a nezistení</w:t>
            </w: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1478"/>
        </w:trPr>
        <w:tc>
          <w:tcPr>
            <w:tcW w:w="134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444444"/>
                <w:sz w:val="20"/>
                <w:szCs w:val="20"/>
                <w:lang w:eastAsia="sk-SK"/>
              </w:rPr>
            </w:pPr>
          </w:p>
        </w:tc>
        <w:tc>
          <w:tcPr>
            <w:tcW w:w="6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so zamestnancami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bez zamestnancov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222222"/>
                <w:sz w:val="20"/>
                <w:szCs w:val="20"/>
                <w:lang w:eastAsia="sk-SK"/>
              </w:rPr>
            </w:pPr>
          </w:p>
        </w:tc>
        <w:tc>
          <w:tcPr>
            <w:tcW w:w="12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333333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15 - 19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20 - 24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15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24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25 - 29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14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22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30 - 34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13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22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31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35 - 39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22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15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16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32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38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40 - 44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17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28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45 - 49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13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23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50 - 54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15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55 - 59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13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60 - 64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65+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lastRenderedPageBreak/>
              <w:t>Úhrn</w:t>
            </w: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81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118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67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77</w:t>
            </w:r>
          </w:p>
        </w:tc>
      </w:tr>
      <w:tr w:rsidR="005051C8" w:rsidRPr="002D3FDD" w:rsidTr="00443074">
        <w:trPr>
          <w:trHeight w:val="300"/>
        </w:trPr>
        <w:tc>
          <w:tcPr>
            <w:tcW w:w="7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148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195</w:t>
            </w:r>
          </w:p>
        </w:tc>
      </w:tr>
      <w:tr w:rsidR="005051C8" w:rsidRPr="002D3FDD" w:rsidTr="00443074">
        <w:trPr>
          <w:trHeight w:val="300"/>
        </w:trPr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5E5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%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75,9</w:t>
            </w:r>
          </w:p>
        </w:tc>
        <w:tc>
          <w:tcPr>
            <w:tcW w:w="16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2,1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12,3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0,5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9,2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100,0</w:t>
            </w:r>
          </w:p>
        </w:tc>
      </w:tr>
    </w:tbl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Zdroj: SOBD 2011</w:t>
      </w:r>
    </w:p>
    <w:p w:rsidR="005051C8" w:rsidRPr="002D3FDD" w:rsidRDefault="005051C8" w:rsidP="005051C8">
      <w:pPr>
        <w:autoSpaceDE w:val="0"/>
        <w:autoSpaceDN w:val="0"/>
        <w:adjustRightInd w:val="0"/>
        <w:spacing w:after="0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eastAsia="Times New Roman"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 xml:space="preserve">Zhrnutie: 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 xml:space="preserve">Mierne </w:t>
      </w:r>
      <w:proofErr w:type="spellStart"/>
      <w:r w:rsidRPr="002D3FDD">
        <w:rPr>
          <w:rFonts w:cs="Times New Roman"/>
          <w:sz w:val="24"/>
          <w:szCs w:val="24"/>
        </w:rPr>
        <w:t>klesajúcatendencia</w:t>
      </w:r>
      <w:proofErr w:type="spellEnd"/>
      <w:r w:rsidRPr="002D3FDD">
        <w:rPr>
          <w:rFonts w:cs="Times New Roman"/>
          <w:sz w:val="24"/>
          <w:szCs w:val="24"/>
        </w:rPr>
        <w:t xml:space="preserve"> počtu obyvateľstva má negatívny  rozvojový potenciál obce v sociálnej aj ekonomickej oblasti.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Znižovanie počuť detí do 4 rokov do roku 2015 môže viesť k starnutiu obyvateľstva ako aj u iných obcí Slovenska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Rovnomerná pôrodnosť a zvyšovanie sa hodnoty prirodzeného úbytku obyvateľstva v obci spôsobené zvyšujúcou sa úmrtnosťou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Staršie vekové kategórie majú stúpajúcu tendenciu avšak mladšie vekové skupiny klesajú čo môže spôsobiť starnutie obyvateľstva v nasledujúcich rokoch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Nízka vzdelanostná úroveň obyvateľstva – hlavne prevláda obyvateľstvo bez školského vzdelania a základné vzdelanie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Jednoznačne prevládajúce vierovyznanie (rímskokatolícke) ako aj národnosť (slovenská)</w:t>
      </w:r>
    </w:p>
    <w:p w:rsidR="005051C8" w:rsidRPr="002D3FDD" w:rsidRDefault="005051C8" w:rsidP="005051C8">
      <w:pPr>
        <w:pStyle w:val="Odsekzoznamu"/>
        <w:numPr>
          <w:ilvl w:val="0"/>
          <w:numId w:val="5"/>
        </w:numPr>
        <w:jc w:val="both"/>
        <w:rPr>
          <w:rFonts w:cs="Times New Roman"/>
          <w:sz w:val="24"/>
          <w:szCs w:val="24"/>
        </w:rPr>
      </w:pPr>
      <w:r w:rsidRPr="002D3FDD">
        <w:rPr>
          <w:rFonts w:cs="Times New Roman"/>
          <w:sz w:val="24"/>
          <w:szCs w:val="24"/>
        </w:rPr>
        <w:t>Veľké zastúpenie obyvateľstva  pracujúcich ako zamestnanci, nízke ukazovatele podnikateľov</w:t>
      </w:r>
    </w:p>
    <w:p w:rsidR="005051C8" w:rsidRPr="002D3FDD" w:rsidRDefault="005051C8" w:rsidP="005051C8">
      <w:pPr>
        <w:pStyle w:val="Odsekzoznamu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Odsekzoznamu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sz w:val="24"/>
          <w:szCs w:val="24"/>
        </w:rPr>
      </w:pPr>
    </w:p>
    <w:p w:rsidR="005051C8" w:rsidRPr="002D3FDD" w:rsidRDefault="005051C8" w:rsidP="005051C8">
      <w:pPr>
        <w:pStyle w:val="Nadpis2"/>
        <w:jc w:val="both"/>
        <w:rPr>
          <w:rFonts w:asciiTheme="minorHAnsi" w:hAnsiTheme="minorHAnsi" w:cs="Times New Roman"/>
          <w:sz w:val="24"/>
          <w:szCs w:val="24"/>
        </w:rPr>
      </w:pPr>
      <w:bookmarkStart w:id="22" w:name="_Toc453067857"/>
      <w:r w:rsidRPr="002D3FDD">
        <w:rPr>
          <w:rFonts w:asciiTheme="minorHAnsi" w:hAnsiTheme="minorHAnsi" w:cs="Times New Roman"/>
          <w:sz w:val="24"/>
          <w:szCs w:val="24"/>
        </w:rPr>
        <w:t>Analýza hospodárskeho rozvoja</w:t>
      </w:r>
      <w:bookmarkEnd w:id="22"/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3" w:name="_Toc453067888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14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Hodnota majetku je uvádzaná v mene €.</w:t>
      </w:r>
      <w:bookmarkEnd w:id="23"/>
    </w:p>
    <w:tbl>
      <w:tblPr>
        <w:tblW w:w="845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05"/>
        <w:gridCol w:w="2848"/>
      </w:tblGrid>
      <w:tr w:rsidR="005051C8" w:rsidRPr="002D3FDD" w:rsidTr="00443074">
        <w:trPr>
          <w:trHeight w:val="410"/>
        </w:trPr>
        <w:tc>
          <w:tcPr>
            <w:tcW w:w="8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7E6E6"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Majetok, ku ktorému má účtovná jednotka vlastnícke právo </w:t>
            </w:r>
          </w:p>
        </w:tc>
      </w:tr>
      <w:tr w:rsidR="005051C8" w:rsidRPr="002D3FDD" w:rsidTr="00443074">
        <w:trPr>
          <w:trHeight w:val="306"/>
        </w:trPr>
        <w:tc>
          <w:tcPr>
            <w:tcW w:w="5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Pozemky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5 549,76</w:t>
            </w:r>
          </w:p>
        </w:tc>
      </w:tr>
      <w:tr w:rsidR="005051C8" w:rsidRPr="002D3FDD" w:rsidTr="00443074">
        <w:trPr>
          <w:trHeight w:val="306"/>
        </w:trPr>
        <w:tc>
          <w:tcPr>
            <w:tcW w:w="5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Budovy, stavby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635 547,52</w:t>
            </w:r>
          </w:p>
        </w:tc>
      </w:tr>
      <w:tr w:rsidR="005051C8" w:rsidRPr="002D3FDD" w:rsidTr="00443074">
        <w:trPr>
          <w:trHeight w:val="306"/>
        </w:trPr>
        <w:tc>
          <w:tcPr>
            <w:tcW w:w="56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Stroje, prístroje, zariadenia, inventár</w:t>
            </w:r>
          </w:p>
        </w:tc>
        <w:tc>
          <w:tcPr>
            <w:tcW w:w="2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136 924,01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proofErr w:type="spellStart"/>
      <w:r w:rsidRPr="002D3FDD">
        <w:rPr>
          <w:rFonts w:cs="Times New Roman"/>
          <w:i/>
          <w:sz w:val="20"/>
          <w:szCs w:val="24"/>
        </w:rPr>
        <w:t>Zdroj:</w:t>
      </w:r>
      <w:hyperlink r:id="rId15" w:history="1">
        <w:r w:rsidRPr="002D3FDD">
          <w:rPr>
            <w:rStyle w:val="Hypertextovprepojenie"/>
            <w:rFonts w:cs="Times New Roman"/>
            <w:i/>
            <w:sz w:val="20"/>
            <w:szCs w:val="24"/>
          </w:rPr>
          <w:t>www.finstat.sk</w:t>
        </w:r>
        <w:proofErr w:type="spellEnd"/>
      </w:hyperlink>
    </w:p>
    <w:p w:rsidR="005051C8" w:rsidRPr="002D3FDD" w:rsidRDefault="005051C8" w:rsidP="005051C8">
      <w:pPr>
        <w:pStyle w:val="Popis"/>
        <w:rPr>
          <w:rFonts w:asciiTheme="minorHAnsi" w:hAnsiTheme="minorHAnsi" w:cs="Times New Roman"/>
          <w:i w:val="0"/>
          <w:szCs w:val="24"/>
        </w:rPr>
      </w:pPr>
      <w:bookmarkStart w:id="24" w:name="_Toc453067889"/>
      <w:r w:rsidRPr="002D3FDD">
        <w:rPr>
          <w:rFonts w:asciiTheme="minorHAnsi" w:hAnsiTheme="minorHAnsi"/>
        </w:rPr>
        <w:t xml:space="preserve">Tabuľka </w:t>
      </w:r>
      <w:r w:rsidRPr="002D3FDD">
        <w:rPr>
          <w:rFonts w:asciiTheme="minorHAnsi" w:hAnsiTheme="minorHAnsi"/>
        </w:rPr>
        <w:fldChar w:fldCharType="begin"/>
      </w:r>
      <w:r w:rsidRPr="002D3FDD">
        <w:rPr>
          <w:rFonts w:asciiTheme="minorHAnsi" w:hAnsiTheme="minorHAnsi"/>
        </w:rPr>
        <w:instrText xml:space="preserve"> SEQ Tabuľka \* ARABIC </w:instrText>
      </w:r>
      <w:r w:rsidRPr="002D3FDD">
        <w:rPr>
          <w:rFonts w:asciiTheme="minorHAnsi" w:hAnsiTheme="minorHAnsi"/>
        </w:rPr>
        <w:fldChar w:fldCharType="separate"/>
      </w:r>
      <w:r w:rsidRPr="002D3FDD">
        <w:rPr>
          <w:rFonts w:asciiTheme="minorHAnsi" w:hAnsiTheme="minorHAnsi"/>
          <w:noProof/>
        </w:rPr>
        <w:t>15</w:t>
      </w:r>
      <w:r w:rsidRPr="002D3FDD">
        <w:rPr>
          <w:rFonts w:asciiTheme="minorHAnsi" w:hAnsiTheme="minorHAnsi"/>
          <w:noProof/>
        </w:rPr>
        <w:fldChar w:fldCharType="end"/>
      </w:r>
      <w:r w:rsidRPr="002D3FDD">
        <w:rPr>
          <w:rFonts w:asciiTheme="minorHAnsi" w:hAnsiTheme="minorHAnsi"/>
        </w:rPr>
        <w:t xml:space="preserve"> Výsledok hospodárenia 2015</w:t>
      </w:r>
      <w:bookmarkEnd w:id="24"/>
    </w:p>
    <w:tbl>
      <w:tblPr>
        <w:tblW w:w="850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0"/>
        <w:gridCol w:w="3220"/>
        <w:gridCol w:w="3700"/>
      </w:tblGrid>
      <w:tr w:rsidR="005051C8" w:rsidRPr="002D3FDD" w:rsidTr="00443074">
        <w:trPr>
          <w:trHeight w:val="690"/>
        </w:trPr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3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proofErr w:type="spellStart"/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Nevysporiadaný</w:t>
            </w:r>
            <w:proofErr w:type="spellEnd"/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 výsledok hospodárenia minulých rokov</w:t>
            </w:r>
          </w:p>
        </w:tc>
        <w:tc>
          <w:tcPr>
            <w:tcW w:w="3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Výsledok hospodárenia</w:t>
            </w:r>
          </w:p>
        </w:tc>
      </w:tr>
      <w:tr w:rsidR="005051C8" w:rsidRPr="002D3FDD" w:rsidTr="00443074">
        <w:trPr>
          <w:trHeight w:val="300"/>
        </w:trPr>
        <w:tc>
          <w:tcPr>
            <w:tcW w:w="15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Zostatok 2015</w:t>
            </w:r>
          </w:p>
        </w:tc>
        <w:tc>
          <w:tcPr>
            <w:tcW w:w="3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581 150,09</w:t>
            </w:r>
          </w:p>
        </w:tc>
        <w:tc>
          <w:tcPr>
            <w:tcW w:w="3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-11 421,25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 xml:space="preserve">Zdroj: </w:t>
      </w:r>
      <w:hyperlink r:id="rId16" w:history="1">
        <w:r w:rsidRPr="002D3FDD">
          <w:rPr>
            <w:rStyle w:val="Hypertextovprepojenie"/>
            <w:rFonts w:cs="Times New Roman"/>
            <w:i/>
            <w:sz w:val="20"/>
            <w:szCs w:val="24"/>
          </w:rPr>
          <w:t>www.finstat.sk</w:t>
        </w:r>
      </w:hyperlink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B33818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color w:val="FF0000"/>
          <w:szCs w:val="24"/>
        </w:rPr>
      </w:pPr>
      <w:bookmarkStart w:id="25" w:name="_Toc453067890"/>
      <w:r w:rsidRPr="00B33818">
        <w:rPr>
          <w:rFonts w:asciiTheme="minorHAnsi" w:hAnsiTheme="minorHAnsi" w:cs="Times New Roman"/>
          <w:color w:val="FF0000"/>
          <w:szCs w:val="24"/>
        </w:rPr>
        <w:t xml:space="preserve">Tabuľka </w:t>
      </w:r>
      <w:r w:rsidRPr="00B33818">
        <w:rPr>
          <w:rFonts w:asciiTheme="minorHAnsi" w:hAnsiTheme="minorHAnsi" w:cs="Times New Roman"/>
          <w:color w:val="FF0000"/>
          <w:szCs w:val="24"/>
        </w:rPr>
        <w:fldChar w:fldCharType="begin"/>
      </w:r>
      <w:r w:rsidRPr="00B33818">
        <w:rPr>
          <w:rFonts w:asciiTheme="minorHAnsi" w:hAnsiTheme="minorHAnsi" w:cs="Times New Roman"/>
          <w:color w:val="FF0000"/>
          <w:szCs w:val="24"/>
        </w:rPr>
        <w:instrText xml:space="preserve"> SEQ Tabuľka \* ARABIC </w:instrText>
      </w:r>
      <w:r w:rsidRPr="00B33818">
        <w:rPr>
          <w:rFonts w:asciiTheme="minorHAnsi" w:hAnsiTheme="minorHAnsi" w:cs="Times New Roman"/>
          <w:color w:val="FF0000"/>
          <w:szCs w:val="24"/>
        </w:rPr>
        <w:fldChar w:fldCharType="separate"/>
      </w:r>
      <w:r w:rsidRPr="00B33818">
        <w:rPr>
          <w:rFonts w:asciiTheme="minorHAnsi" w:hAnsiTheme="minorHAnsi" w:cs="Times New Roman"/>
          <w:noProof/>
          <w:color w:val="FF0000"/>
          <w:szCs w:val="24"/>
        </w:rPr>
        <w:t>16</w:t>
      </w:r>
      <w:r w:rsidRPr="00B33818">
        <w:rPr>
          <w:rFonts w:asciiTheme="minorHAnsi" w:hAnsiTheme="minorHAnsi" w:cs="Times New Roman"/>
          <w:noProof/>
          <w:color w:val="FF0000"/>
          <w:szCs w:val="24"/>
        </w:rPr>
        <w:fldChar w:fldCharType="end"/>
      </w:r>
      <w:r w:rsidRPr="00B33818">
        <w:rPr>
          <w:rFonts w:asciiTheme="minorHAnsi" w:hAnsiTheme="minorHAnsi" w:cs="Times New Roman"/>
          <w:color w:val="FF0000"/>
          <w:szCs w:val="24"/>
        </w:rPr>
        <w:t xml:space="preserve"> Prehľad investičných aktivít v obci za posledných 5 rokov – 2010 až 201</w:t>
      </w:r>
      <w:bookmarkEnd w:id="25"/>
      <w:r>
        <w:rPr>
          <w:rFonts w:asciiTheme="minorHAnsi" w:hAnsiTheme="minorHAnsi" w:cs="Times New Roman"/>
          <w:color w:val="FF0000"/>
          <w:szCs w:val="24"/>
        </w:rPr>
        <w:t>5</w:t>
      </w:r>
    </w:p>
    <w:tbl>
      <w:tblPr>
        <w:tblW w:w="855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7"/>
        <w:gridCol w:w="2295"/>
        <w:gridCol w:w="2298"/>
        <w:gridCol w:w="1878"/>
      </w:tblGrid>
      <w:tr w:rsidR="005051C8" w:rsidRPr="002D3FDD" w:rsidTr="00443074">
        <w:trPr>
          <w:trHeight w:val="1162"/>
        </w:trPr>
        <w:tc>
          <w:tcPr>
            <w:tcW w:w="2087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Názov projektu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Miesto realizácie</w:t>
            </w:r>
          </w:p>
        </w:tc>
        <w:tc>
          <w:tcPr>
            <w:tcW w:w="2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Názov poskytovateľa</w:t>
            </w:r>
          </w:p>
        </w:tc>
        <w:tc>
          <w:tcPr>
            <w:tcW w:w="1878" w:type="dxa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Grant/</w:t>
            </w:r>
          </w:p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FF0000"/>
                <w:sz w:val="24"/>
                <w:szCs w:val="24"/>
                <w:lang w:eastAsia="sk-SK"/>
              </w:rPr>
              <w:t>dotácia</w:t>
            </w:r>
          </w:p>
        </w:tc>
      </w:tr>
      <w:tr w:rsidR="005051C8" w:rsidRPr="002D3FDD" w:rsidTr="00443074">
        <w:trPr>
          <w:trHeight w:val="464"/>
        </w:trPr>
        <w:tc>
          <w:tcPr>
            <w:tcW w:w="2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Úprava potoka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Hrubov</w:t>
            </w:r>
          </w:p>
        </w:tc>
        <w:tc>
          <w:tcPr>
            <w:tcW w:w="2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 xml:space="preserve">               -   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 xml:space="preserve">vlastné </w:t>
            </w:r>
            <w:proofErr w:type="spellStart"/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prostr</w:t>
            </w:r>
            <w:proofErr w:type="spellEnd"/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.</w:t>
            </w:r>
          </w:p>
        </w:tc>
      </w:tr>
      <w:tr w:rsidR="005051C8" w:rsidRPr="002D3FDD" w:rsidTr="00443074">
        <w:trPr>
          <w:trHeight w:val="705"/>
        </w:trPr>
        <w:tc>
          <w:tcPr>
            <w:tcW w:w="20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Rekonštrukcia ZŠ</w:t>
            </w:r>
          </w:p>
        </w:tc>
        <w:tc>
          <w:tcPr>
            <w:tcW w:w="2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Hrubov</w:t>
            </w:r>
          </w:p>
        </w:tc>
        <w:tc>
          <w:tcPr>
            <w:tcW w:w="22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 xml:space="preserve">                -</w:t>
            </w:r>
          </w:p>
        </w:tc>
        <w:tc>
          <w:tcPr>
            <w:tcW w:w="187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</w:pPr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 xml:space="preserve">vlastné </w:t>
            </w:r>
            <w:proofErr w:type="spellStart"/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prostr</w:t>
            </w:r>
            <w:proofErr w:type="spellEnd"/>
            <w:r>
              <w:rPr>
                <w:rFonts w:eastAsia="Times New Roman" w:cs="Times New Roman"/>
                <w:color w:val="FF0000"/>
                <w:sz w:val="24"/>
                <w:szCs w:val="24"/>
                <w:lang w:eastAsia="sk-SK"/>
              </w:rPr>
              <w:t>,</w:t>
            </w:r>
          </w:p>
        </w:tc>
      </w:tr>
    </w:tbl>
    <w:p w:rsidR="005051C8" w:rsidRPr="002D3FDD" w:rsidRDefault="005051C8" w:rsidP="005051C8">
      <w:pPr>
        <w:spacing w:after="160"/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 xml:space="preserve">Zdroj informácii: </w:t>
      </w:r>
      <w:proofErr w:type="spellStart"/>
      <w:r w:rsidRPr="002D3FDD">
        <w:rPr>
          <w:rFonts w:cs="Times New Roman"/>
          <w:i/>
          <w:sz w:val="20"/>
          <w:szCs w:val="24"/>
        </w:rPr>
        <w:t>OcÚ</w:t>
      </w:r>
      <w:proofErr w:type="spellEnd"/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b/>
          <w:bCs/>
          <w:color w:val="FF0000"/>
          <w:sz w:val="24"/>
          <w:szCs w:val="24"/>
          <w:lang w:eastAsia="sk-SK"/>
        </w:rPr>
      </w:pPr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b/>
          <w:bCs/>
          <w:sz w:val="24"/>
          <w:szCs w:val="24"/>
          <w:lang w:eastAsia="sk-SK"/>
        </w:rPr>
      </w:pPr>
      <w:r w:rsidRPr="002D3FDD">
        <w:rPr>
          <w:rFonts w:eastAsia="Times New Roman" w:cs="Times New Roman"/>
          <w:b/>
          <w:bCs/>
          <w:sz w:val="24"/>
          <w:szCs w:val="24"/>
          <w:lang w:eastAsia="sk-SK"/>
        </w:rPr>
        <w:t>Popis ekonomických zdrojov</w:t>
      </w:r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b/>
          <w:bCs/>
          <w:color w:val="FF0000"/>
          <w:sz w:val="24"/>
          <w:szCs w:val="24"/>
          <w:lang w:eastAsia="sk-SK"/>
        </w:rPr>
      </w:pPr>
    </w:p>
    <w:p w:rsidR="005051C8" w:rsidRPr="002D3FDD" w:rsidRDefault="005051C8" w:rsidP="005051C8">
      <w:pPr>
        <w:spacing w:after="0"/>
        <w:ind w:firstLine="708"/>
        <w:jc w:val="both"/>
        <w:rPr>
          <w:rFonts w:cs="Times New Roman"/>
          <w:sz w:val="24"/>
          <w:szCs w:val="24"/>
        </w:rPr>
      </w:pPr>
      <w:r w:rsidRPr="002D3FDD">
        <w:rPr>
          <w:rFonts w:eastAsia="Times New Roman" w:cs="Times New Roman"/>
          <w:bCs/>
          <w:sz w:val="24"/>
          <w:szCs w:val="24"/>
          <w:lang w:eastAsia="sk-SK"/>
        </w:rPr>
        <w:t xml:space="preserve">Najviac zastúpeným odvetvím ekonomickej činnosti je stavebný priemysel, konkrétne výstavba budov (17 mužov), inžinierske stavby (1 žena), špecializované stavebné práce (9 mužov, 1 žena).16 obyvateľov pracuje v odvetví maloobchodu (okrem motorových vozidiel a motocyklov). Ďalej je to výroba odevov, kde je zamestnaných 12 osôb, verejná správa a obrana, povinné sociálne zabezpečenie (9 osôb). 8 obyvateľov sa zaoberá lesníctvom a ťažbou dreva, ďalších 8 osôb je zamestnaných vo výrobe motorových vozidiel, návesov a prívesov a ďalších 8sa zaoberá vzdelávaním. Zvyšné odvetvia s menším počtom obyvateľov činných v danom odvetví sú zobrazené v nasledujúcej tabuľke. 79% obyvateľov obce Hrubov do svojho zamestnania dochádza. Najviac dochádzajúcich osôb je zamestnaných v odvetví: výstavba budov (14 dochádzajúcich), maloobchod okrem motorových vozidiel a motocyklov (13 dochádzajúcich), výroba odevov (12 dochádzajúcich). </w:t>
      </w:r>
    </w:p>
    <w:p w:rsidR="005051C8" w:rsidRPr="002D3FDD" w:rsidRDefault="005051C8" w:rsidP="005051C8">
      <w:pPr>
        <w:spacing w:after="0"/>
        <w:ind w:firstLine="708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spacing w:after="0"/>
        <w:ind w:firstLine="708"/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6" w:name="_Toc453067891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17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Prehľad odvetví ekonomickej činnosti obyvateľstva obce</w:t>
      </w:r>
      <w:bookmarkEnd w:id="26"/>
    </w:p>
    <w:tbl>
      <w:tblPr>
        <w:tblW w:w="9049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5"/>
        <w:gridCol w:w="709"/>
        <w:gridCol w:w="709"/>
        <w:gridCol w:w="709"/>
        <w:gridCol w:w="1257"/>
      </w:tblGrid>
      <w:tr w:rsidR="005051C8" w:rsidRPr="002D3FDD" w:rsidTr="00443074">
        <w:trPr>
          <w:trHeight w:val="502"/>
        </w:trPr>
        <w:tc>
          <w:tcPr>
            <w:tcW w:w="5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Odvetvie ekonomickej činnosti</w:t>
            </w:r>
          </w:p>
        </w:tc>
        <w:tc>
          <w:tcPr>
            <w:tcW w:w="338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Ekonomicky aktívne osoby</w:t>
            </w:r>
          </w:p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</w:tr>
      <w:tr w:rsidR="005051C8" w:rsidRPr="002D3FDD" w:rsidTr="00443074">
        <w:trPr>
          <w:trHeight w:val="412"/>
        </w:trPr>
        <w:tc>
          <w:tcPr>
            <w:tcW w:w="5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ženy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 toho dochádza do zamestnania</w:t>
            </w:r>
          </w:p>
        </w:tc>
      </w:tr>
      <w:tr w:rsidR="005051C8" w:rsidRPr="002D3FDD" w:rsidTr="00443074">
        <w:trPr>
          <w:trHeight w:val="524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Pestovanie plodín a chov zvierat, poľovníctvo a služby s tým súvisiace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Lesníctvo a ťažba dreva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Ťažba uhlia a lignitu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potravín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textilu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odevov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kože a kožených výrobkov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524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lastRenderedPageBreak/>
              <w:t>Spracovanie dreva a výroba výrobkov z dreva a korku okrem nábytku; výroba predmetov zo slamy a prúteného materiálu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papiera a papierových výrobkov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chemikálií a chemických produktov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výrobkov z gumy a plastu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ostatných nekovových minerálnych výrobkov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a spracovanie kovov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kovových konštrukcií okrem strojov a zariadení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počítačových, elektronických a optických výrobkov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elektrických zariadení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strojov a zariadení i. n.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Výroba motorových vozidiel, návesov a prívesov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Iná výroba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Oprava a inštalácia strojov a prístrojov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Dodávka elektriny, plynu, pary a studeného vzduchu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Výstavba budov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Inžinierske stavby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Špecializované stavebné práce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Veľkoobchod, okrem motorových vozidiel a motocyklov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Maloobchod okrem motorových vozidiel a motocyklov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16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13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Pozemná doprava a doprava potrubím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Poštové služby a služby kuriérov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Ubytovanie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reštaurácií a pohostinstiev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Počítačové programovanie, poradenstvo a súvisiace služby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Informačné služby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Finančné služby, okrem poistenia a dôchodkového zabezpečenia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v oblasti nehnuteľností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Právne a účtovnícke činnosti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524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Architektonické a inžinierske činnosti; technické testovanie a analýzy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Ostatné odborné, vedecké a technické činnosti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Sprostredkovanie práce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</w:tr>
      <w:tr w:rsidR="005051C8" w:rsidRPr="002D3FDD" w:rsidTr="00443074">
        <w:trPr>
          <w:trHeight w:val="524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cestovných agentúr, rezervačné služby cestovných kancelárií a súvisiace činnosti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Bezpečnostné a pátracie služby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súvisiace s údržbou zariadení a krajinnou úpravou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Verejná správa a obrana; povinné sociálne zabezpečenie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Vzdelávanie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Zdravotníctvo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Starostlivosť v pobytových zariadeniach (rezidenčná starostlivosť)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Sociálna práca bez ubytovania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knižníc, archívov, múzeí a ostatných kultúrnych zariadení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Činnosti členských organizácií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Ostatné osobné služby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5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Nezistené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8</w:t>
            </w:r>
          </w:p>
        </w:tc>
      </w:tr>
      <w:tr w:rsidR="005051C8" w:rsidRPr="002D3FDD" w:rsidTr="00443074">
        <w:trPr>
          <w:trHeight w:val="268"/>
        </w:trPr>
        <w:tc>
          <w:tcPr>
            <w:tcW w:w="56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Spolu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77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195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155</w:t>
            </w:r>
          </w:p>
        </w:tc>
      </w:tr>
    </w:tbl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szCs w:val="24"/>
        </w:rPr>
      </w:pPr>
      <w:r w:rsidRPr="002D3FDD">
        <w:rPr>
          <w:rFonts w:asciiTheme="minorHAnsi" w:hAnsiTheme="minorHAnsi" w:cs="Times New Roman"/>
          <w:szCs w:val="24"/>
        </w:rPr>
        <w:lastRenderedPageBreak/>
        <w:t>Zdroj: SOBD 2011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7" w:name="_Toc453067892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18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Vývoj a počet podnikateľov - právnické osoby, fyzické osoby  na území obce Hrubov</w:t>
      </w:r>
      <w:bookmarkEnd w:id="27"/>
    </w:p>
    <w:tbl>
      <w:tblPr>
        <w:tblW w:w="912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6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  <w:gridCol w:w="644"/>
      </w:tblGrid>
      <w:tr w:rsidR="005051C8" w:rsidRPr="002D3FDD" w:rsidTr="00443074">
        <w:trPr>
          <w:trHeight w:val="318"/>
        </w:trPr>
        <w:tc>
          <w:tcPr>
            <w:tcW w:w="20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 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2005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2006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2007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2008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2009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2010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2011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2012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2013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2014</w:t>
            </w:r>
          </w:p>
        </w:tc>
        <w:tc>
          <w:tcPr>
            <w:tcW w:w="6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621"/>
        </w:trPr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Právnické osoby spolu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5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4</w:t>
            </w:r>
          </w:p>
        </w:tc>
      </w:tr>
      <w:tr w:rsidR="005051C8" w:rsidRPr="002D3FDD" w:rsidTr="00443074">
        <w:trPr>
          <w:trHeight w:val="730"/>
        </w:trPr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4"/>
                <w:lang w:eastAsia="sk-SK"/>
              </w:rPr>
              <w:t>Fyzické osoby - podnikatelia (osoby)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0</w:t>
            </w:r>
          </w:p>
        </w:tc>
        <w:tc>
          <w:tcPr>
            <w:tcW w:w="6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4"/>
                <w:lang w:eastAsia="sk-SK"/>
              </w:rPr>
              <w:t>28</w:t>
            </w:r>
          </w:p>
        </w:tc>
      </w:tr>
    </w:tbl>
    <w:p w:rsidR="005051C8" w:rsidRPr="002D3FDD" w:rsidRDefault="005051C8" w:rsidP="005051C8">
      <w:pPr>
        <w:spacing w:after="0"/>
        <w:jc w:val="both"/>
        <w:rPr>
          <w:rFonts w:eastAsia="Times New Roman" w:cs="Times New Roman"/>
          <w:i/>
          <w:sz w:val="20"/>
          <w:szCs w:val="24"/>
          <w:lang w:eastAsia="sk-SK"/>
        </w:rPr>
      </w:pPr>
      <w:r w:rsidRPr="002D3FDD">
        <w:rPr>
          <w:rFonts w:cs="Times New Roman"/>
          <w:i/>
          <w:sz w:val="20"/>
          <w:szCs w:val="24"/>
        </w:rPr>
        <w:t>Zdroj: ŠÚ SR</w:t>
      </w:r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5051C8" w:rsidRPr="002D3FDD" w:rsidRDefault="005051C8" w:rsidP="005051C8">
      <w:pPr>
        <w:spacing w:after="0"/>
        <w:jc w:val="both"/>
        <w:rPr>
          <w:rFonts w:eastAsia="Times New Roman" w:cs="Times New Roman"/>
          <w:color w:val="FF0000"/>
          <w:sz w:val="24"/>
          <w:szCs w:val="24"/>
          <w:lang w:eastAsia="sk-SK"/>
        </w:rPr>
      </w:pPr>
    </w:p>
    <w:p w:rsidR="005051C8" w:rsidRPr="002D3FDD" w:rsidRDefault="005051C8" w:rsidP="005051C8">
      <w:pPr>
        <w:pStyle w:val="Popis"/>
        <w:rPr>
          <w:rFonts w:asciiTheme="minorHAnsi" w:hAnsiTheme="minorHAnsi" w:cs="Times New Roman"/>
          <w:color w:val="FF0000"/>
          <w:sz w:val="24"/>
          <w:szCs w:val="24"/>
        </w:rPr>
      </w:pPr>
      <w:bookmarkStart w:id="28" w:name="_Toc453067921"/>
      <w:r w:rsidRPr="002D3FDD">
        <w:rPr>
          <w:rFonts w:asciiTheme="minorHAnsi" w:hAnsiTheme="minorHAnsi"/>
        </w:rPr>
        <w:t xml:space="preserve">Graf </w:t>
      </w:r>
      <w:r w:rsidRPr="002D3FDD">
        <w:rPr>
          <w:rFonts w:asciiTheme="minorHAnsi" w:hAnsiTheme="minorHAnsi"/>
        </w:rPr>
        <w:fldChar w:fldCharType="begin"/>
      </w:r>
      <w:r w:rsidRPr="002D3FDD">
        <w:rPr>
          <w:rFonts w:asciiTheme="minorHAnsi" w:hAnsiTheme="minorHAnsi"/>
        </w:rPr>
        <w:instrText xml:space="preserve"> SEQ Graf \* ARABIC </w:instrText>
      </w:r>
      <w:r w:rsidRPr="002D3FDD">
        <w:rPr>
          <w:rFonts w:asciiTheme="minorHAnsi" w:hAnsiTheme="minorHAnsi"/>
        </w:rPr>
        <w:fldChar w:fldCharType="separate"/>
      </w:r>
      <w:r w:rsidRPr="002D3FDD">
        <w:rPr>
          <w:rFonts w:asciiTheme="minorHAnsi" w:hAnsiTheme="minorHAnsi"/>
          <w:noProof/>
        </w:rPr>
        <w:t>11</w:t>
      </w:r>
      <w:r w:rsidRPr="002D3FDD">
        <w:rPr>
          <w:rFonts w:asciiTheme="minorHAnsi" w:hAnsiTheme="minorHAnsi"/>
          <w:noProof/>
        </w:rPr>
        <w:fldChar w:fldCharType="end"/>
      </w:r>
      <w:r w:rsidRPr="002D3FDD">
        <w:rPr>
          <w:rFonts w:asciiTheme="minorHAnsi" w:hAnsiTheme="minorHAnsi"/>
        </w:rPr>
        <w:t xml:space="preserve"> Vývoj a počet podnikateľov - právnické osoby, fyzické osoby  na území obce Hrubov</w:t>
      </w:r>
      <w:bookmarkEnd w:id="28"/>
    </w:p>
    <w:p w:rsidR="005051C8" w:rsidRPr="002D3FDD" w:rsidRDefault="005051C8" w:rsidP="005051C8">
      <w:pPr>
        <w:jc w:val="center"/>
        <w:rPr>
          <w:rFonts w:cs="Times New Roman"/>
          <w:color w:val="FF0000"/>
          <w:sz w:val="24"/>
          <w:szCs w:val="24"/>
        </w:rPr>
      </w:pPr>
      <w:r w:rsidRPr="002D3FDD">
        <w:rPr>
          <w:rFonts w:cs="Times New Roman"/>
          <w:noProof/>
          <w:sz w:val="24"/>
          <w:szCs w:val="24"/>
          <w:lang w:eastAsia="sk-SK"/>
        </w:rPr>
        <w:drawing>
          <wp:inline distT="0" distB="0" distL="0" distR="0" wp14:anchorId="74DD1674" wp14:editId="60B343DF">
            <wp:extent cx="5676900" cy="2400300"/>
            <wp:effectExtent l="0" t="0" r="0" b="0"/>
            <wp:docPr id="79" name="Graf 7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 xml:space="preserve">Zdroj: ŠÚ SR </w:t>
      </w:r>
    </w:p>
    <w:p w:rsidR="005051C8" w:rsidRPr="002D3FDD" w:rsidRDefault="005051C8" w:rsidP="005051C8">
      <w:pPr>
        <w:pStyle w:val="Popis"/>
        <w:keepNext/>
        <w:spacing w:line="276" w:lineRule="auto"/>
        <w:jc w:val="both"/>
        <w:rPr>
          <w:rFonts w:asciiTheme="minorHAnsi" w:hAnsiTheme="minorHAnsi" w:cs="Times New Roman"/>
          <w:szCs w:val="24"/>
        </w:rPr>
      </w:pPr>
    </w:p>
    <w:p w:rsidR="005051C8" w:rsidRPr="002D3FDD" w:rsidRDefault="005051C8" w:rsidP="005051C8">
      <w:pPr>
        <w:ind w:firstLine="708"/>
      </w:pPr>
      <w:r w:rsidRPr="002D3FDD">
        <w:t>Počet právnických osôb v obci Hrubov bol za posledné roky (od roku 2005 až do roku 2015) stabilný  v hodnote 4 právnických osôb. Zmena nastala iba v roku 2014, kedy k právnickým osobám v obci pribudla jedna právnická osoba, ale už v roku 2015 sa počet opäť znížil na 4. Štatistické údaje v rokoch 2005 – 2014 neudávajú žiadne údaje o fyzických osobách, no v roku 2015 udáva počet 28.</w:t>
      </w: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29" w:name="_Toc453067893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19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Prehľad najväčších podnikateľských subjektov na území obce Hrubov</w:t>
      </w:r>
      <w:bookmarkEnd w:id="29"/>
    </w:p>
    <w:tbl>
      <w:tblPr>
        <w:tblW w:w="8927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6664"/>
      </w:tblGrid>
      <w:tr w:rsidR="005051C8" w:rsidRPr="002D3FDD" w:rsidTr="00443074">
        <w:trPr>
          <w:trHeight w:val="368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Anton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Marinčák</w:t>
            </w:r>
            <w:proofErr w:type="spellEnd"/>
          </w:p>
        </w:tc>
        <w:tc>
          <w:tcPr>
            <w:tcW w:w="6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Služby týkajúce sa telesnej pohody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Anton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Turcovský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Výstavba obytných a neobytných budov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Dušan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Karoľ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Inštalácia kanalizačných, výhrevných a klimatizačných zariadení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František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Kuľha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Rezanie, tvarovanie a konečná úprava kameňa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Obec Hrubov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Všeobecná verejná správa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TJ Partizán Hrubov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Prevádzka športových zariadení</w:t>
            </w:r>
          </w:p>
        </w:tc>
      </w:tr>
      <w:tr w:rsidR="005051C8" w:rsidRPr="002D3FDD" w:rsidTr="00443074">
        <w:trPr>
          <w:trHeight w:val="6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lastRenderedPageBreak/>
              <w:t xml:space="preserve">Ján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Šuľak</w:t>
            </w:r>
            <w:proofErr w:type="spellEnd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 </w:t>
            </w: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br/>
              <w:t>VÝŤAHY - ŠUĽÁK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Technické testovanie a analýzy</w:t>
            </w:r>
          </w:p>
        </w:tc>
      </w:tr>
      <w:tr w:rsidR="005051C8" w:rsidRPr="002D3FDD" w:rsidTr="00443074">
        <w:trPr>
          <w:trHeight w:val="6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Rímskokatolícka cirkev, farnosť Hrubov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Činnosti cirkevných organizácií</w:t>
            </w:r>
          </w:p>
        </w:tc>
      </w:tr>
      <w:tr w:rsidR="005051C8" w:rsidRPr="002D3FDD" w:rsidTr="00443074">
        <w:trPr>
          <w:trHeight w:val="471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Mária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Košlabová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Maloobchod v nešpecializovaných predajniach najmä s potravinami, nápojmi a tabakom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Ing. Michal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Karoľ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odborné, vedecké a technické činnosti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Ján Bučko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Ostatná osobná pozemná doprava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Štefan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Šuľák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Výstavba obytných a neobytných budov i. n.</w:t>
            </w:r>
          </w:p>
        </w:tc>
      </w:tr>
      <w:tr w:rsidR="005051C8" w:rsidRPr="002D3FDD" w:rsidTr="00443074">
        <w:trPr>
          <w:trHeight w:val="6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Róbert Kridlo </w:t>
            </w: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br/>
              <w:t>RK - SPED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Činnosti cestovných kancelárií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Pavol Butala.ml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Pavol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Butala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Jozef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Packo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Ján Pavlík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Výroba zámkov a pántov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Martin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Palašta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Ostatný maloobchod v nešpecializovaných predajniach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Jaroslav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Kuľha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Slavomír Balko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Jozef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Karoľ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 xml:space="preserve">Výroba ostatná </w:t>
            </w:r>
            <w:proofErr w:type="spellStart"/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stavebnostolárska</w:t>
            </w:r>
            <w:proofErr w:type="spellEnd"/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 xml:space="preserve"> a tesárska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Jozef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Košlab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pomocné činnosti v poisťovníctve a dôchodkovom zabezpečení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Štefánia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Butalová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Ostatný maloobchod v nešpecializovaných predajniach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Július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Šuľák</w:t>
            </w:r>
            <w:proofErr w:type="spellEnd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 VÝŤAHY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Elektrická inštalácia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Peter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Turcovský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Zemné práce</w:t>
            </w:r>
          </w:p>
        </w:tc>
      </w:tr>
      <w:tr w:rsidR="005051C8" w:rsidRPr="002D3FDD" w:rsidTr="00443074">
        <w:trPr>
          <w:trHeight w:val="582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Pozemkové spoločenstvo Zemplín Hrubov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Lesné hospodárstvo a ostatné služby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Jozef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Turcovský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 xml:space="preserve">Výroba ostatná </w:t>
            </w:r>
            <w:proofErr w:type="spellStart"/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stavebnostolárska</w:t>
            </w:r>
            <w:proofErr w:type="spellEnd"/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 xml:space="preserve"> a tesárska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Peter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Karoľ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Zemné práce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Pavol Orlej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Zemné práce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Martin Orlej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Zemné práce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Ján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Čubiňák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Zemné práce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Marek Bodnár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Služby súvisiace s lesníctvom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Ivan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Butala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služby poskytované v lesníctve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Štefan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Butala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Pilovanie a hobľovanie dreva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Terézia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Dorková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Ostatné osobné služby i. n.</w:t>
            </w:r>
          </w:p>
        </w:tc>
      </w:tr>
      <w:tr w:rsidR="005051C8" w:rsidRPr="002D3FDD" w:rsidTr="00443074">
        <w:trPr>
          <w:trHeight w:val="30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Jana Bučková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Výroba ostatného textilu i. n.</w:t>
            </w:r>
          </w:p>
        </w:tc>
      </w:tr>
      <w:tr w:rsidR="005051C8" w:rsidRPr="002D3FDD" w:rsidTr="00443074">
        <w:trPr>
          <w:trHeight w:val="693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Urbárska spoločnosť, pozemkové spoločenstvo Hrubov</w:t>
            </w:r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Lesné hospodárstvo a ostatné služby v lesníctve</w:t>
            </w:r>
          </w:p>
        </w:tc>
      </w:tr>
      <w:tr w:rsidR="005051C8" w:rsidRPr="002D3FDD" w:rsidTr="00443074">
        <w:trPr>
          <w:trHeight w:val="619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 xml:space="preserve">Renáta Bučková </w:t>
            </w:r>
            <w:proofErr w:type="spellStart"/>
            <w:r w:rsidRPr="002D3FDD">
              <w:rPr>
                <w:rFonts w:eastAsia="Times New Roman" w:cs="Times New Roman"/>
                <w:b/>
                <w:bCs/>
                <w:sz w:val="20"/>
                <w:szCs w:val="20"/>
                <w:lang w:eastAsia="sk-SK"/>
              </w:rPr>
              <w:t>Rstyle</w:t>
            </w:r>
            <w:proofErr w:type="spellEnd"/>
          </w:p>
        </w:tc>
        <w:tc>
          <w:tcPr>
            <w:tcW w:w="6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rPr>
                <w:rFonts w:eastAsia="Times New Roman" w:cs="Times New Roman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sz w:val="20"/>
                <w:szCs w:val="20"/>
                <w:lang w:eastAsia="sk-SK"/>
              </w:rPr>
              <w:t>Výroba bytových doplnkov okrem kobercov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 xml:space="preserve">Zdroj informácií: </w:t>
      </w:r>
      <w:proofErr w:type="spellStart"/>
      <w:r w:rsidRPr="002D3FDD">
        <w:rPr>
          <w:rFonts w:cs="Times New Roman"/>
          <w:i/>
          <w:sz w:val="20"/>
          <w:szCs w:val="24"/>
        </w:rPr>
        <w:t>OcÚ</w:t>
      </w:r>
      <w:proofErr w:type="spellEnd"/>
    </w:p>
    <w:p w:rsidR="005051C8" w:rsidRPr="002D3FDD" w:rsidRDefault="005051C8" w:rsidP="005051C8">
      <w:pPr>
        <w:jc w:val="both"/>
        <w:rPr>
          <w:rFonts w:cs="Times New Roman"/>
          <w:i/>
          <w:color w:val="FF0000"/>
          <w:sz w:val="24"/>
          <w:szCs w:val="24"/>
        </w:rPr>
      </w:pPr>
    </w:p>
    <w:p w:rsidR="005051C8" w:rsidRPr="002D3FDD" w:rsidRDefault="005051C8" w:rsidP="005051C8">
      <w:pPr>
        <w:pStyle w:val="Nadpis2"/>
        <w:jc w:val="both"/>
        <w:rPr>
          <w:rFonts w:asciiTheme="minorHAnsi" w:hAnsiTheme="minorHAnsi" w:cs="Times New Roman"/>
          <w:sz w:val="24"/>
          <w:szCs w:val="24"/>
        </w:rPr>
      </w:pPr>
      <w:bookmarkStart w:id="30" w:name="_Toc453067858"/>
      <w:r w:rsidRPr="002D3FDD">
        <w:rPr>
          <w:rFonts w:asciiTheme="minorHAnsi" w:hAnsiTheme="minorHAnsi" w:cs="Times New Roman"/>
          <w:sz w:val="24"/>
          <w:szCs w:val="24"/>
        </w:rPr>
        <w:lastRenderedPageBreak/>
        <w:t>Analýza environmentálneho rozvoja</w:t>
      </w:r>
      <w:bookmarkEnd w:id="30"/>
    </w:p>
    <w:p w:rsidR="005051C8" w:rsidRPr="002D3FDD" w:rsidRDefault="005051C8" w:rsidP="005051C8">
      <w:pPr>
        <w:jc w:val="both"/>
        <w:rPr>
          <w:rFonts w:cs="Times New Roman"/>
          <w:color w:val="FF0000"/>
          <w:sz w:val="24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Cs w:val="24"/>
        </w:rPr>
      </w:pPr>
      <w:bookmarkStart w:id="31" w:name="_Toc453067894"/>
      <w:r w:rsidRPr="002D3FDD">
        <w:rPr>
          <w:rFonts w:asciiTheme="minorHAnsi" w:hAnsiTheme="minorHAnsi" w:cs="Times New Roman"/>
          <w:szCs w:val="24"/>
        </w:rPr>
        <w:t xml:space="preserve">Tabuľka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Tabuľka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20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Výmera územia obce Hrubov</w:t>
      </w:r>
      <w:bookmarkEnd w:id="31"/>
    </w:p>
    <w:tbl>
      <w:tblPr>
        <w:tblW w:w="8451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6"/>
        <w:gridCol w:w="1935"/>
      </w:tblGrid>
      <w:tr w:rsidR="005051C8" w:rsidRPr="002D3FDD" w:rsidTr="00443074">
        <w:trPr>
          <w:trHeight w:val="254"/>
        </w:trPr>
        <w:tc>
          <w:tcPr>
            <w:tcW w:w="6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bottom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 </w:t>
            </w:r>
          </w:p>
        </w:tc>
        <w:tc>
          <w:tcPr>
            <w:tcW w:w="19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2015</w:t>
            </w:r>
          </w:p>
        </w:tc>
      </w:tr>
      <w:tr w:rsidR="005051C8" w:rsidRPr="002D3FDD" w:rsidTr="00443074">
        <w:trPr>
          <w:trHeight w:val="45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Celková výmera územia obce - mesta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14 418 178</w:t>
            </w:r>
          </w:p>
        </w:tc>
      </w:tr>
      <w:tr w:rsidR="005051C8" w:rsidRPr="002D3FDD" w:rsidTr="00443074">
        <w:trPr>
          <w:trHeight w:val="40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Poľnohospodárska pôda  - spolu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3 517 707</w:t>
            </w:r>
          </w:p>
        </w:tc>
      </w:tr>
      <w:tr w:rsidR="005051C8" w:rsidRPr="002D3FDD" w:rsidTr="00443074">
        <w:trPr>
          <w:trHeight w:val="41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Poľnohospodárska pôda  - orná pôda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231 519</w:t>
            </w:r>
          </w:p>
        </w:tc>
      </w:tr>
      <w:tr w:rsidR="005051C8" w:rsidRPr="002D3FDD" w:rsidTr="00443074">
        <w:trPr>
          <w:trHeight w:val="41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Poľnohospodárska pôda  -  záhrada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189 501</w:t>
            </w:r>
          </w:p>
        </w:tc>
      </w:tr>
      <w:tr w:rsidR="005051C8" w:rsidRPr="002D3FDD" w:rsidTr="00443074">
        <w:trPr>
          <w:trHeight w:val="339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Poľnohospodárska pôda  -  trvalý trávny porast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3 096 687</w:t>
            </w:r>
          </w:p>
        </w:tc>
      </w:tr>
      <w:tr w:rsidR="005051C8" w:rsidRPr="002D3FDD" w:rsidTr="00443074">
        <w:trPr>
          <w:trHeight w:val="417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Nepoľnohospodárska pôda – spolu (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10 900 471</w:t>
            </w:r>
          </w:p>
        </w:tc>
      </w:tr>
      <w:tr w:rsidR="005051C8" w:rsidRPr="002D3FDD" w:rsidTr="00443074">
        <w:trPr>
          <w:trHeight w:val="409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Nepoľnohospodárska pôda - lesný pozemok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10 405 945</w:t>
            </w:r>
          </w:p>
        </w:tc>
      </w:tr>
      <w:tr w:rsidR="005051C8" w:rsidRPr="002D3FDD" w:rsidTr="00443074">
        <w:trPr>
          <w:trHeight w:val="431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Nepoľnohospodárska pôda - vodná plocha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63 250</w:t>
            </w:r>
          </w:p>
        </w:tc>
      </w:tr>
      <w:tr w:rsidR="005051C8" w:rsidRPr="002D3FDD" w:rsidTr="00443074">
        <w:trPr>
          <w:trHeight w:val="395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Nepoľnohospodárska pôda - zastavaná plocha a nádvorie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203 162</w:t>
            </w:r>
          </w:p>
        </w:tc>
      </w:tr>
      <w:tr w:rsidR="005051C8" w:rsidRPr="002D3FDD" w:rsidTr="00443074">
        <w:trPr>
          <w:trHeight w:val="430"/>
        </w:trPr>
        <w:tc>
          <w:tcPr>
            <w:tcW w:w="65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center"/>
            <w:hideMark/>
          </w:tcPr>
          <w:p w:rsidR="005051C8" w:rsidRPr="002D3FDD" w:rsidRDefault="005051C8" w:rsidP="00443074">
            <w:pPr>
              <w:spacing w:after="0"/>
              <w:jc w:val="both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 xml:space="preserve">Nepoľnohospodárska pôda - ostatná plocha (v </w:t>
            </w:r>
            <m:oMath>
              <m:sSup>
                <m:sSupPr>
                  <m:ctrlPr>
                    <w:rPr>
                      <w:rFonts w:ascii="Cambria Math" w:eastAsia="Times New Roman" w:hAnsi="Cambria Math" w:cs="Times New Roman"/>
                      <w:b/>
                      <w:bCs/>
                      <w:i/>
                      <w:color w:val="000000"/>
                      <w:sz w:val="20"/>
                      <w:szCs w:val="20"/>
                      <w:lang w:eastAsia="sk-SK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m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="Times New Roman" w:hAnsi="Cambria Math" w:cs="Times New Roman"/>
                      <w:color w:val="000000"/>
                      <w:sz w:val="20"/>
                      <w:szCs w:val="20"/>
                      <w:lang w:eastAsia="sk-SK"/>
                    </w:rPr>
                    <m:t>2</m:t>
                  </m:r>
                </m:sup>
              </m:sSup>
            </m:oMath>
            <w:r w:rsidRPr="002D3FDD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sk-SK"/>
              </w:rPr>
              <w:t>)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51C8" w:rsidRPr="002D3FDD" w:rsidRDefault="005051C8" w:rsidP="00443074">
            <w:pPr>
              <w:spacing w:after="0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</w:pPr>
            <w:r w:rsidRPr="002D3FDD">
              <w:rPr>
                <w:rFonts w:eastAsia="Times New Roman" w:cs="Times New Roman"/>
                <w:color w:val="000000"/>
                <w:sz w:val="20"/>
                <w:szCs w:val="20"/>
                <w:lang w:eastAsia="sk-SK"/>
              </w:rPr>
              <w:t>228 114</w:t>
            </w:r>
          </w:p>
        </w:tc>
      </w:tr>
    </w:tbl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>Zdroj informácií: ŠU SR</w:t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ind w:firstLine="708"/>
        <w:jc w:val="both"/>
        <w:rPr>
          <w:rFonts w:eastAsia="Times New Roman" w:cs="Times New Roman"/>
          <w:bCs/>
          <w:color w:val="000000"/>
          <w:sz w:val="24"/>
          <w:szCs w:val="20"/>
          <w:lang w:eastAsia="sk-SK"/>
        </w:rPr>
      </w:pPr>
      <w:r w:rsidRPr="002D3FDD">
        <w:rPr>
          <w:rFonts w:cs="Times New Roman"/>
          <w:sz w:val="24"/>
          <w:szCs w:val="24"/>
        </w:rPr>
        <w:t xml:space="preserve">Celková výmera územia obce Hrubov (14 418 178  </w:t>
      </w:r>
      <m:oMath>
        <m:sSup>
          <m:sSupPr>
            <m:ctrlPr>
              <w:rPr>
                <w:rFonts w:ascii="Cambria Math" w:eastAsia="Times New Roman" w:hAnsi="Cambria Math" w:cs="Times New Roman"/>
                <w:bCs/>
                <w:i/>
                <w:color w:val="000000"/>
                <w:sz w:val="24"/>
                <w:szCs w:val="20"/>
                <w:lang w:eastAsia="sk-SK"/>
              </w:rPr>
            </m:ctrlPr>
          </m:sSupPr>
          <m:e>
            <m:r>
              <w:rPr>
                <w:rFonts w:ascii="Cambria Math" w:eastAsia="Times New Roman" w:hAnsi="Cambria Math" w:cs="Times New Roman"/>
                <w:color w:val="000000"/>
                <w:sz w:val="24"/>
                <w:szCs w:val="20"/>
                <w:lang w:eastAsia="sk-SK"/>
              </w:rPr>
              <m:t>m</m:t>
            </m:r>
          </m:e>
          <m:sup>
            <m:r>
              <w:rPr>
                <w:rFonts w:ascii="Cambria Math" w:eastAsia="Times New Roman" w:hAnsi="Cambria Math" w:cs="Times New Roman"/>
                <w:color w:val="000000"/>
                <w:sz w:val="24"/>
                <w:szCs w:val="20"/>
                <w:lang w:eastAsia="sk-SK"/>
              </w:rPr>
              <m:t>2</m:t>
            </m:r>
          </m:sup>
        </m:sSup>
      </m:oMath>
      <w:r w:rsidRPr="002D3FDD">
        <w:rPr>
          <w:rFonts w:eastAsia="Times New Roman" w:cs="Times New Roman"/>
          <w:bCs/>
          <w:color w:val="000000"/>
          <w:sz w:val="24"/>
          <w:szCs w:val="20"/>
          <w:lang w:eastAsia="sk-SK"/>
        </w:rPr>
        <w:t xml:space="preserve">) je zložená z väčšej časti 76% z nepoľnohospodárskej pôdy a zvyšný 24% podiel na výmere územia obce má poľnohospodárska </w:t>
      </w:r>
      <w:proofErr w:type="spellStart"/>
      <w:r w:rsidRPr="002D3FDD">
        <w:rPr>
          <w:rFonts w:eastAsia="Times New Roman" w:cs="Times New Roman"/>
          <w:bCs/>
          <w:color w:val="000000"/>
          <w:sz w:val="24"/>
          <w:szCs w:val="20"/>
          <w:lang w:eastAsia="sk-SK"/>
        </w:rPr>
        <w:t>pôda.Nepoľnohospodársku</w:t>
      </w:r>
      <w:proofErr w:type="spellEnd"/>
      <w:r w:rsidRPr="002D3FDD">
        <w:rPr>
          <w:rFonts w:eastAsia="Times New Roman" w:cs="Times New Roman"/>
          <w:bCs/>
          <w:color w:val="000000"/>
          <w:sz w:val="24"/>
          <w:szCs w:val="20"/>
          <w:lang w:eastAsia="sk-SK"/>
        </w:rPr>
        <w:t xml:space="preserve"> pôdu tvorí lesný pozemok (95% z územia nepoľnohospodárskej pôdy, 72% z celkovej výmery územia obce), zastavaná plocha a nádvorie (1,9% z nepoľnohospodárskej pôdy), vodná plocha (0,6 % z nepoľnohospodárskej pôdy) a ostatná plocha (2% z nepoľnohospodárskej pôdy). Najväčšiu plochu z poľnohospodárskej pôdy zaberá trvalý trávnatý porast (88% z územia poľnohospodárskej pôdy, 21% z celkovej výmery územia obce). Poľnohospodársku pôdu ďalej tvorí orná pôda (6,6% z poľnohospodárskej pôdy) a záhrada (5,4% z poľnohospodárskej pôdy). </w:t>
      </w: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jc w:val="both"/>
        <w:rPr>
          <w:rFonts w:cs="Times New Roman"/>
          <w:i/>
          <w:sz w:val="20"/>
          <w:szCs w:val="24"/>
        </w:rPr>
      </w:pPr>
      <w:bookmarkStart w:id="32" w:name="_Toc453067922"/>
      <w:r w:rsidRPr="002D3FDD">
        <w:rPr>
          <w:rFonts w:cs="Times New Roman"/>
          <w:noProof/>
          <w:sz w:val="24"/>
          <w:szCs w:val="24"/>
          <w:lang w:eastAsia="sk-SK"/>
        </w:rPr>
        <w:lastRenderedPageBreak/>
        <w:drawing>
          <wp:anchor distT="0" distB="0" distL="114300" distR="114300" simplePos="0" relativeHeight="251660288" behindDoc="0" locked="0" layoutInCell="1" allowOverlap="1" wp14:anchorId="583FA07F" wp14:editId="1BFD03DA">
            <wp:simplePos x="0" y="0"/>
            <wp:positionH relativeFrom="column">
              <wp:posOffset>14605</wp:posOffset>
            </wp:positionH>
            <wp:positionV relativeFrom="paragraph">
              <wp:posOffset>366395</wp:posOffset>
            </wp:positionV>
            <wp:extent cx="5324475" cy="2324100"/>
            <wp:effectExtent l="0" t="0" r="9525" b="0"/>
            <wp:wrapTopAndBottom/>
            <wp:docPr id="80" name="Graf 8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  <w:r w:rsidRPr="002D3FDD">
        <w:rPr>
          <w:rFonts w:cs="Times New Roman"/>
          <w:i/>
          <w:sz w:val="20"/>
          <w:szCs w:val="24"/>
        </w:rPr>
        <w:t xml:space="preserve">Graf </w:t>
      </w:r>
      <w:r w:rsidRPr="002D3FDD">
        <w:rPr>
          <w:rFonts w:cs="Times New Roman"/>
          <w:i/>
          <w:sz w:val="20"/>
          <w:szCs w:val="24"/>
        </w:rPr>
        <w:fldChar w:fldCharType="begin"/>
      </w:r>
      <w:r w:rsidRPr="002D3FDD">
        <w:rPr>
          <w:rFonts w:cs="Times New Roman"/>
          <w:i/>
          <w:sz w:val="20"/>
          <w:szCs w:val="24"/>
        </w:rPr>
        <w:instrText xml:space="preserve"> SEQ Graf \* ARABIC </w:instrText>
      </w:r>
      <w:r w:rsidRPr="002D3FDD">
        <w:rPr>
          <w:rFonts w:cs="Times New Roman"/>
          <w:i/>
          <w:sz w:val="20"/>
          <w:szCs w:val="24"/>
        </w:rPr>
        <w:fldChar w:fldCharType="separate"/>
      </w:r>
      <w:r w:rsidRPr="002D3FDD">
        <w:rPr>
          <w:rFonts w:cs="Times New Roman"/>
          <w:i/>
          <w:noProof/>
          <w:sz w:val="20"/>
          <w:szCs w:val="24"/>
        </w:rPr>
        <w:t>12</w:t>
      </w:r>
      <w:r w:rsidRPr="002D3FDD">
        <w:rPr>
          <w:rFonts w:cs="Times New Roman"/>
          <w:i/>
          <w:noProof/>
          <w:sz w:val="20"/>
          <w:szCs w:val="24"/>
        </w:rPr>
        <w:fldChar w:fldCharType="end"/>
      </w:r>
      <w:r w:rsidRPr="002D3FDD">
        <w:rPr>
          <w:rFonts w:cs="Times New Roman"/>
          <w:i/>
          <w:sz w:val="20"/>
          <w:szCs w:val="24"/>
        </w:rPr>
        <w:t xml:space="preserve"> Využitie územia a poľnohospodárskeho fondu</w:t>
      </w:r>
      <w:bookmarkEnd w:id="32"/>
    </w:p>
    <w:p w:rsidR="005051C8" w:rsidRPr="002D3FDD" w:rsidRDefault="005051C8" w:rsidP="005051C8">
      <w:pPr>
        <w:tabs>
          <w:tab w:val="left" w:pos="6936"/>
        </w:tabs>
        <w:jc w:val="both"/>
        <w:rPr>
          <w:rFonts w:cs="Times New Roman"/>
          <w:i/>
          <w:sz w:val="20"/>
          <w:szCs w:val="24"/>
        </w:rPr>
      </w:pPr>
      <w:r w:rsidRPr="002D3FDD">
        <w:rPr>
          <w:rFonts w:cs="Times New Roman"/>
          <w:i/>
          <w:sz w:val="20"/>
          <w:szCs w:val="24"/>
        </w:rPr>
        <w:t xml:space="preserve"> Zdroj informácii: ŠÚ SR</w:t>
      </w:r>
    </w:p>
    <w:p w:rsidR="005051C8" w:rsidRPr="002D3FDD" w:rsidRDefault="005051C8" w:rsidP="005051C8">
      <w:pPr>
        <w:tabs>
          <w:tab w:val="left" w:pos="6936"/>
        </w:tabs>
        <w:jc w:val="both"/>
        <w:rPr>
          <w:rFonts w:cs="Times New Roman"/>
          <w:i/>
          <w:sz w:val="20"/>
          <w:szCs w:val="24"/>
        </w:rPr>
      </w:pPr>
    </w:p>
    <w:p w:rsidR="005051C8" w:rsidRPr="002D3FDD" w:rsidRDefault="005051C8" w:rsidP="005051C8">
      <w:pPr>
        <w:pStyle w:val="Popis"/>
        <w:spacing w:line="276" w:lineRule="auto"/>
        <w:jc w:val="both"/>
        <w:rPr>
          <w:rFonts w:asciiTheme="minorHAnsi" w:hAnsiTheme="minorHAnsi" w:cs="Times New Roman"/>
          <w:sz w:val="24"/>
          <w:szCs w:val="24"/>
        </w:rPr>
      </w:pPr>
      <w:bookmarkStart w:id="33" w:name="_Toc453067923"/>
      <w:r w:rsidRPr="002D3FDD">
        <w:rPr>
          <w:rFonts w:asciiTheme="minorHAnsi" w:hAnsiTheme="minorHAnsi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61312" behindDoc="0" locked="0" layoutInCell="1" allowOverlap="1" wp14:anchorId="54898242" wp14:editId="3A57036E">
            <wp:simplePos x="0" y="0"/>
            <wp:positionH relativeFrom="column">
              <wp:posOffset>-3810</wp:posOffset>
            </wp:positionH>
            <wp:positionV relativeFrom="paragraph">
              <wp:posOffset>338455</wp:posOffset>
            </wp:positionV>
            <wp:extent cx="5372100" cy="3333750"/>
            <wp:effectExtent l="0" t="0" r="0" b="0"/>
            <wp:wrapTopAndBottom/>
            <wp:docPr id="81" name="Graf 8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  <w:r w:rsidRPr="002D3FDD">
        <w:rPr>
          <w:rFonts w:asciiTheme="minorHAnsi" w:hAnsiTheme="minorHAnsi" w:cs="Times New Roman"/>
          <w:szCs w:val="24"/>
        </w:rPr>
        <w:t xml:space="preserve">Graf </w:t>
      </w:r>
      <w:r w:rsidRPr="002D3FDD">
        <w:rPr>
          <w:rFonts w:asciiTheme="minorHAnsi" w:hAnsiTheme="minorHAnsi" w:cs="Times New Roman"/>
          <w:szCs w:val="24"/>
        </w:rPr>
        <w:fldChar w:fldCharType="begin"/>
      </w:r>
      <w:r w:rsidRPr="002D3FDD">
        <w:rPr>
          <w:rFonts w:asciiTheme="minorHAnsi" w:hAnsiTheme="minorHAnsi" w:cs="Times New Roman"/>
          <w:szCs w:val="24"/>
        </w:rPr>
        <w:instrText xml:space="preserve"> SEQ Graf \* ARABIC </w:instrText>
      </w:r>
      <w:r w:rsidRPr="002D3FDD">
        <w:rPr>
          <w:rFonts w:asciiTheme="minorHAnsi" w:hAnsiTheme="minorHAnsi" w:cs="Times New Roman"/>
          <w:szCs w:val="24"/>
        </w:rPr>
        <w:fldChar w:fldCharType="separate"/>
      </w:r>
      <w:r w:rsidRPr="002D3FDD">
        <w:rPr>
          <w:rFonts w:asciiTheme="minorHAnsi" w:hAnsiTheme="minorHAnsi" w:cs="Times New Roman"/>
          <w:noProof/>
          <w:szCs w:val="24"/>
        </w:rPr>
        <w:t>13</w:t>
      </w:r>
      <w:r w:rsidRPr="002D3FDD">
        <w:rPr>
          <w:rFonts w:asciiTheme="minorHAnsi" w:hAnsiTheme="minorHAnsi" w:cs="Times New Roman"/>
          <w:noProof/>
          <w:szCs w:val="24"/>
        </w:rPr>
        <w:fldChar w:fldCharType="end"/>
      </w:r>
      <w:r w:rsidRPr="002D3FDD">
        <w:rPr>
          <w:rFonts w:asciiTheme="minorHAnsi" w:hAnsiTheme="minorHAnsi" w:cs="Times New Roman"/>
          <w:szCs w:val="24"/>
        </w:rPr>
        <w:t xml:space="preserve"> Využitie územia poľnohospodárskeho a nepoľnohospodárskeho fondu</w:t>
      </w:r>
      <w:bookmarkEnd w:id="33"/>
    </w:p>
    <w:p w:rsidR="00FB4CA0" w:rsidRDefault="00FB4CA0"/>
    <w:sectPr w:rsidR="00FB4C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B161C"/>
    <w:multiLevelType w:val="hybridMultilevel"/>
    <w:tmpl w:val="C30AFFB2"/>
    <w:lvl w:ilvl="0" w:tplc="7B5602D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761CC"/>
    <w:multiLevelType w:val="multilevel"/>
    <w:tmpl w:val="1926319A"/>
    <w:styleLink w:val="LFO8"/>
    <w:lvl w:ilvl="0">
      <w:start w:val="1"/>
      <w:numFmt w:val="decimal"/>
      <w:pStyle w:val="Ploha"/>
      <w:lvlText w:val="Příloha č. %1 "/>
      <w:lvlJc w:val="left"/>
      <w:pPr>
        <w:ind w:left="1985" w:hanging="198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094A0C80"/>
    <w:multiLevelType w:val="hybridMultilevel"/>
    <w:tmpl w:val="9C0E43CE"/>
    <w:lvl w:ilvl="0" w:tplc="041B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 w15:restartNumberingAfterBreak="0">
    <w:nsid w:val="0B556B00"/>
    <w:multiLevelType w:val="hybridMultilevel"/>
    <w:tmpl w:val="7C089C98"/>
    <w:lvl w:ilvl="0" w:tplc="BB7068D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6839C1"/>
    <w:multiLevelType w:val="multilevel"/>
    <w:tmpl w:val="CE82FD8E"/>
    <w:styleLink w:val="LFO9"/>
    <w:lvl w:ilvl="0">
      <w:numFmt w:val="bullet"/>
      <w:pStyle w:val="Odrky"/>
      <w:lvlText w:val=""/>
      <w:lvlJc w:val="left"/>
      <w:pPr>
        <w:ind w:left="106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78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9" w:hanging="360"/>
      </w:pPr>
      <w:rPr>
        <w:rFonts w:ascii="Wingdings" w:hAnsi="Wingdings"/>
      </w:rPr>
    </w:lvl>
  </w:abstractNum>
  <w:abstractNum w:abstractNumId="5" w15:restartNumberingAfterBreak="0">
    <w:nsid w:val="1A2E0C2D"/>
    <w:multiLevelType w:val="hybridMultilevel"/>
    <w:tmpl w:val="8D7C6FB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E35404"/>
    <w:multiLevelType w:val="multilevel"/>
    <w:tmpl w:val="B8E4947A"/>
    <w:styleLink w:val="WWOutlineListStyle"/>
    <w:lvl w:ilvl="0">
      <w:start w:val="1"/>
      <w:numFmt w:val="decimal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lvlText w:val="%1.%2"/>
      <w:lvlJc w:val="left"/>
      <w:pPr>
        <w:ind w:left="298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250603E4"/>
    <w:multiLevelType w:val="multilevel"/>
    <w:tmpl w:val="E6F62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2A57DA"/>
    <w:multiLevelType w:val="hybridMultilevel"/>
    <w:tmpl w:val="B7B633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E933CA"/>
    <w:multiLevelType w:val="hybridMultilevel"/>
    <w:tmpl w:val="32CC04EE"/>
    <w:lvl w:ilvl="0" w:tplc="BB7068D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CE16B6A"/>
    <w:multiLevelType w:val="hybridMultilevel"/>
    <w:tmpl w:val="1742B0A2"/>
    <w:lvl w:ilvl="0" w:tplc="BB7068D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AA5A81"/>
    <w:multiLevelType w:val="hybridMultilevel"/>
    <w:tmpl w:val="C636C35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831BA4"/>
    <w:multiLevelType w:val="hybridMultilevel"/>
    <w:tmpl w:val="54FEF776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3" w15:restartNumberingAfterBreak="0">
    <w:nsid w:val="4F1A6227"/>
    <w:multiLevelType w:val="hybridMultilevel"/>
    <w:tmpl w:val="0424309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5A5126"/>
    <w:multiLevelType w:val="hybridMultilevel"/>
    <w:tmpl w:val="CA8E461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333D4B"/>
    <w:multiLevelType w:val="multilevel"/>
    <w:tmpl w:val="4D9CC742"/>
    <w:styleLink w:val="Styl1"/>
    <w:lvl w:ilvl="0">
      <w:start w:val="1"/>
      <w:numFmt w:val="decimal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533E2722"/>
    <w:multiLevelType w:val="hybridMultilevel"/>
    <w:tmpl w:val="F2EA8F58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632620"/>
    <w:multiLevelType w:val="hybridMultilevel"/>
    <w:tmpl w:val="8990FC2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5A22AC"/>
    <w:multiLevelType w:val="hybridMultilevel"/>
    <w:tmpl w:val="9AC87B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D1623F"/>
    <w:multiLevelType w:val="multilevel"/>
    <w:tmpl w:val="976EC2CE"/>
    <w:styleLink w:val="Styl2"/>
    <w:lvl w:ilvl="0">
      <w:start w:val="1"/>
      <w:numFmt w:val="decimal"/>
      <w:lvlText w:val="Příloha č. %1 "/>
      <w:lvlJc w:val="left"/>
      <w:pPr>
        <w:ind w:left="2835" w:hanging="2835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68056793"/>
    <w:multiLevelType w:val="hybridMultilevel"/>
    <w:tmpl w:val="6B2CEFC6"/>
    <w:lvl w:ilvl="0" w:tplc="765AD34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313AF"/>
    <w:multiLevelType w:val="multilevel"/>
    <w:tmpl w:val="8F0EB742"/>
    <w:styleLink w:val="LFO11"/>
    <w:lvl w:ilvl="0">
      <w:start w:val="1"/>
      <w:numFmt w:val="decimal"/>
      <w:pStyle w:val="Literatura"/>
      <w:lvlText w:val="[%1]"/>
      <w:lvlJc w:val="left"/>
      <w:pPr>
        <w:ind w:left="1429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971A64"/>
    <w:multiLevelType w:val="multilevel"/>
    <w:tmpl w:val="B8E4947A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32"/>
      </w:rPr>
    </w:lvl>
    <w:lvl w:ilvl="1">
      <w:start w:val="1"/>
      <w:numFmt w:val="decimal"/>
      <w:pStyle w:val="Nadpis2"/>
      <w:lvlText w:val="%1.%2"/>
      <w:lvlJc w:val="left"/>
      <w:pPr>
        <w:ind w:left="298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B3863C9"/>
    <w:multiLevelType w:val="multilevel"/>
    <w:tmpl w:val="B0949C54"/>
    <w:styleLink w:val="LFO10"/>
    <w:lvl w:ilvl="0">
      <w:start w:val="1"/>
      <w:numFmt w:val="decimal"/>
      <w:pStyle w:val="slovn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10"/>
  </w:num>
  <w:num w:numId="3">
    <w:abstractNumId w:val="3"/>
  </w:num>
  <w:num w:numId="4">
    <w:abstractNumId w:val="9"/>
  </w:num>
  <w:num w:numId="5">
    <w:abstractNumId w:val="20"/>
  </w:num>
  <w:num w:numId="6">
    <w:abstractNumId w:val="14"/>
  </w:num>
  <w:num w:numId="7">
    <w:abstractNumId w:val="12"/>
  </w:num>
  <w:num w:numId="8">
    <w:abstractNumId w:val="18"/>
  </w:num>
  <w:num w:numId="9">
    <w:abstractNumId w:val="5"/>
  </w:num>
  <w:num w:numId="10">
    <w:abstractNumId w:val="16"/>
  </w:num>
  <w:num w:numId="11">
    <w:abstractNumId w:val="7"/>
  </w:num>
  <w:num w:numId="12">
    <w:abstractNumId w:val="15"/>
  </w:num>
  <w:num w:numId="13">
    <w:abstractNumId w:val="19"/>
  </w:num>
  <w:num w:numId="14">
    <w:abstractNumId w:val="1"/>
  </w:num>
  <w:num w:numId="15">
    <w:abstractNumId w:val="4"/>
  </w:num>
  <w:num w:numId="16">
    <w:abstractNumId w:val="23"/>
  </w:num>
  <w:num w:numId="17">
    <w:abstractNumId w:val="21"/>
  </w:num>
  <w:num w:numId="18">
    <w:abstractNumId w:val="6"/>
  </w:num>
  <w:num w:numId="19">
    <w:abstractNumId w:val="22"/>
  </w:num>
  <w:num w:numId="20">
    <w:abstractNumId w:val="13"/>
  </w:num>
  <w:num w:numId="21">
    <w:abstractNumId w:val="2"/>
  </w:num>
  <w:num w:numId="22">
    <w:abstractNumId w:val="11"/>
  </w:num>
  <w:num w:numId="23">
    <w:abstractNumId w:val="17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1C8"/>
    <w:rsid w:val="005051C8"/>
    <w:rsid w:val="00FB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4330DF-E792-4FF8-9B24-A91AA3BD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051C8"/>
    <w:pPr>
      <w:spacing w:after="200" w:line="276" w:lineRule="auto"/>
    </w:pPr>
  </w:style>
  <w:style w:type="paragraph" w:styleId="Nadpis1">
    <w:name w:val="heading 1"/>
    <w:basedOn w:val="Normlny"/>
    <w:next w:val="Normlny"/>
    <w:link w:val="Nadpis1Char"/>
    <w:qFormat/>
    <w:rsid w:val="005051C8"/>
    <w:pPr>
      <w:keepNext/>
      <w:keepLines/>
      <w:numPr>
        <w:numId w:val="19"/>
      </w:numPr>
      <w:spacing w:before="240" w:after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y"/>
    <w:next w:val="Normlny"/>
    <w:link w:val="Nadpis2Char"/>
    <w:unhideWhenUsed/>
    <w:qFormat/>
    <w:rsid w:val="005051C8"/>
    <w:pPr>
      <w:keepNext/>
      <w:keepLines/>
      <w:numPr>
        <w:ilvl w:val="1"/>
        <w:numId w:val="19"/>
      </w:numPr>
      <w:spacing w:before="40" w:after="0"/>
      <w:ind w:left="578" w:hanging="578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5051C8"/>
    <w:pPr>
      <w:keepNext/>
      <w:keepLines/>
      <w:numPr>
        <w:ilvl w:val="2"/>
        <w:numId w:val="19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y"/>
    <w:next w:val="Normlny"/>
    <w:link w:val="Nadpis4Char"/>
    <w:unhideWhenUsed/>
    <w:qFormat/>
    <w:rsid w:val="005051C8"/>
    <w:pPr>
      <w:keepNext/>
      <w:keepLines/>
      <w:numPr>
        <w:ilvl w:val="3"/>
        <w:numId w:val="19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unhideWhenUsed/>
    <w:qFormat/>
    <w:rsid w:val="005051C8"/>
    <w:pPr>
      <w:keepNext/>
      <w:keepLines/>
      <w:numPr>
        <w:ilvl w:val="4"/>
        <w:numId w:val="19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unhideWhenUsed/>
    <w:qFormat/>
    <w:rsid w:val="005051C8"/>
    <w:pPr>
      <w:keepNext/>
      <w:keepLines/>
      <w:numPr>
        <w:ilvl w:val="5"/>
        <w:numId w:val="19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unhideWhenUsed/>
    <w:qFormat/>
    <w:rsid w:val="005051C8"/>
    <w:pPr>
      <w:keepNext/>
      <w:keepLines/>
      <w:numPr>
        <w:ilvl w:val="6"/>
        <w:numId w:val="19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unhideWhenUsed/>
    <w:qFormat/>
    <w:rsid w:val="005051C8"/>
    <w:pPr>
      <w:keepNext/>
      <w:keepLines/>
      <w:numPr>
        <w:ilvl w:val="7"/>
        <w:numId w:val="19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nhideWhenUsed/>
    <w:qFormat/>
    <w:rsid w:val="005051C8"/>
    <w:pPr>
      <w:keepNext/>
      <w:keepLines/>
      <w:numPr>
        <w:ilvl w:val="8"/>
        <w:numId w:val="19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5051C8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Predvolenpsmoodseku"/>
    <w:link w:val="Nadpis2"/>
    <w:rsid w:val="005051C8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Nadpis3Char">
    <w:name w:val="Nadpis 3 Char"/>
    <w:basedOn w:val="Predvolenpsmoodseku"/>
    <w:link w:val="Nadpis3"/>
    <w:rsid w:val="005051C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Predvolenpsmoodseku"/>
    <w:link w:val="Nadpis4"/>
    <w:rsid w:val="005051C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dpis5Char">
    <w:name w:val="Nadpis 5 Char"/>
    <w:basedOn w:val="Predvolenpsmoodseku"/>
    <w:link w:val="Nadpis5"/>
    <w:rsid w:val="005051C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dpis6Char">
    <w:name w:val="Nadpis 6 Char"/>
    <w:basedOn w:val="Predvolenpsmoodseku"/>
    <w:link w:val="Nadpis6"/>
    <w:rsid w:val="005051C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Predvolenpsmoodseku"/>
    <w:link w:val="Nadpis7"/>
    <w:rsid w:val="005051C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Predvolenpsmoodseku"/>
    <w:link w:val="Nadpis8"/>
    <w:rsid w:val="005051C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rsid w:val="005051C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Odsekzoznamu">
    <w:name w:val="List Paragraph"/>
    <w:basedOn w:val="Normlny"/>
    <w:uiPriority w:val="34"/>
    <w:qFormat/>
    <w:rsid w:val="005051C8"/>
    <w:pPr>
      <w:ind w:left="720"/>
      <w:contextualSpacing/>
    </w:pPr>
  </w:style>
  <w:style w:type="paragraph" w:styleId="Hlavika">
    <w:name w:val="header"/>
    <w:basedOn w:val="Normlny"/>
    <w:link w:val="HlavikaChar"/>
    <w:unhideWhenUsed/>
    <w:rsid w:val="0050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5051C8"/>
  </w:style>
  <w:style w:type="paragraph" w:styleId="Pta">
    <w:name w:val="footer"/>
    <w:basedOn w:val="Normlny"/>
    <w:link w:val="PtaChar"/>
    <w:unhideWhenUsed/>
    <w:rsid w:val="005051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rsid w:val="005051C8"/>
  </w:style>
  <w:style w:type="paragraph" w:styleId="Textbubliny">
    <w:name w:val="Balloon Text"/>
    <w:basedOn w:val="Normlny"/>
    <w:link w:val="TextbublinyChar"/>
    <w:unhideWhenUsed/>
    <w:rsid w:val="005051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rsid w:val="005051C8"/>
    <w:rPr>
      <w:rFonts w:ascii="Tahoma" w:hAnsi="Tahoma" w:cs="Tahoma"/>
      <w:sz w:val="16"/>
      <w:szCs w:val="16"/>
    </w:rPr>
  </w:style>
  <w:style w:type="paragraph" w:styleId="Textpoznmkypodiarou">
    <w:name w:val="footnote text"/>
    <w:basedOn w:val="Normlny"/>
    <w:link w:val="TextpoznmkypodiarouChar"/>
    <w:unhideWhenUsed/>
    <w:rsid w:val="005051C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5051C8"/>
    <w:rPr>
      <w:sz w:val="20"/>
      <w:szCs w:val="20"/>
    </w:rPr>
  </w:style>
  <w:style w:type="character" w:styleId="Odkaznapoznmkupodiarou">
    <w:name w:val="footnote reference"/>
    <w:basedOn w:val="Predvolenpsmoodseku"/>
    <w:unhideWhenUsed/>
    <w:rsid w:val="005051C8"/>
    <w:rPr>
      <w:vertAlign w:val="superscript"/>
    </w:rPr>
  </w:style>
  <w:style w:type="table" w:styleId="Mriekatabuky">
    <w:name w:val="Table Grid"/>
    <w:basedOn w:val="Normlnatabuka"/>
    <w:uiPriority w:val="59"/>
    <w:rsid w:val="005051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r">
    <w:name w:val="annotation reference"/>
    <w:basedOn w:val="Predvolenpsmoodseku"/>
    <w:uiPriority w:val="99"/>
    <w:semiHidden/>
    <w:unhideWhenUsed/>
    <w:rsid w:val="005051C8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5051C8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5051C8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5051C8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5051C8"/>
    <w:rPr>
      <w:b/>
      <w:bCs/>
      <w:sz w:val="20"/>
      <w:szCs w:val="20"/>
    </w:rPr>
  </w:style>
  <w:style w:type="character" w:styleId="Intenzvnezvraznenie">
    <w:name w:val="Intense Emphasis"/>
    <w:basedOn w:val="Predvolenpsmoodseku"/>
    <w:uiPriority w:val="21"/>
    <w:qFormat/>
    <w:rsid w:val="005051C8"/>
    <w:rPr>
      <w:b/>
      <w:bCs/>
      <w:i/>
      <w:iCs/>
      <w:color w:val="5B9BD5" w:themeColor="accent1"/>
    </w:rPr>
  </w:style>
  <w:style w:type="paragraph" w:styleId="Normlnywebov">
    <w:name w:val="Normal (Web)"/>
    <w:basedOn w:val="Normlny"/>
    <w:uiPriority w:val="99"/>
    <w:unhideWhenUsed/>
    <w:rsid w:val="0050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customStyle="1" w:styleId="apple-converted-space">
    <w:name w:val="apple-converted-space"/>
    <w:basedOn w:val="Predvolenpsmoodseku"/>
    <w:rsid w:val="005051C8"/>
  </w:style>
  <w:style w:type="character" w:styleId="Hypertextovprepojenie">
    <w:name w:val="Hyperlink"/>
    <w:basedOn w:val="Predvolenpsmoodseku"/>
    <w:uiPriority w:val="99"/>
    <w:unhideWhenUsed/>
    <w:rsid w:val="005051C8"/>
    <w:rPr>
      <w:color w:val="0000FF"/>
      <w:u w:val="single"/>
    </w:rPr>
  </w:style>
  <w:style w:type="character" w:styleId="Siln">
    <w:name w:val="Strong"/>
    <w:basedOn w:val="Predvolenpsmoodseku"/>
    <w:uiPriority w:val="22"/>
    <w:qFormat/>
    <w:rsid w:val="005051C8"/>
    <w:rPr>
      <w:b/>
      <w:bCs/>
    </w:rPr>
  </w:style>
  <w:style w:type="character" w:styleId="Zvraznenie">
    <w:name w:val="Emphasis"/>
    <w:basedOn w:val="Predvolenpsmoodseku"/>
    <w:uiPriority w:val="20"/>
    <w:qFormat/>
    <w:rsid w:val="005051C8"/>
    <w:rPr>
      <w:i/>
      <w:i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5051C8"/>
    <w:rPr>
      <w:color w:val="954F72"/>
      <w:u w:val="single"/>
    </w:rPr>
  </w:style>
  <w:style w:type="paragraph" w:customStyle="1" w:styleId="xl64">
    <w:name w:val="xl64"/>
    <w:basedOn w:val="Normlny"/>
    <w:rsid w:val="005051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5">
    <w:name w:val="xl65"/>
    <w:basedOn w:val="Normlny"/>
    <w:rsid w:val="005051C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6">
    <w:name w:val="xl66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7">
    <w:name w:val="xl67"/>
    <w:basedOn w:val="Normlny"/>
    <w:rsid w:val="005051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8">
    <w:name w:val="xl68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69">
    <w:name w:val="xl69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0">
    <w:name w:val="xl70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1">
    <w:name w:val="xl71"/>
    <w:basedOn w:val="Normlny"/>
    <w:rsid w:val="005051C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2">
    <w:name w:val="xl72"/>
    <w:basedOn w:val="Normlny"/>
    <w:rsid w:val="005051C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3">
    <w:name w:val="xl73"/>
    <w:basedOn w:val="Normlny"/>
    <w:rsid w:val="00505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4">
    <w:name w:val="xl74"/>
    <w:basedOn w:val="Normlny"/>
    <w:rsid w:val="005051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5">
    <w:name w:val="xl75"/>
    <w:basedOn w:val="Normlny"/>
    <w:rsid w:val="005051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6">
    <w:name w:val="xl76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7">
    <w:name w:val="xl77"/>
    <w:basedOn w:val="Normlny"/>
    <w:rsid w:val="005051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8">
    <w:name w:val="xl78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79">
    <w:name w:val="xl79"/>
    <w:basedOn w:val="Normlny"/>
    <w:rsid w:val="005051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0">
    <w:name w:val="xl80"/>
    <w:basedOn w:val="Normlny"/>
    <w:rsid w:val="005051C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1">
    <w:name w:val="xl81"/>
    <w:basedOn w:val="Normlny"/>
    <w:rsid w:val="005051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2">
    <w:name w:val="xl82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83">
    <w:name w:val="xl83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84">
    <w:name w:val="xl84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85">
    <w:name w:val="xl85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6">
    <w:name w:val="xl86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87">
    <w:name w:val="xl87"/>
    <w:basedOn w:val="Normlny"/>
    <w:rsid w:val="005051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88">
    <w:name w:val="xl88"/>
    <w:basedOn w:val="Normlny"/>
    <w:rsid w:val="005051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89">
    <w:name w:val="xl89"/>
    <w:basedOn w:val="Normlny"/>
    <w:rsid w:val="005051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90">
    <w:name w:val="xl90"/>
    <w:basedOn w:val="Normlny"/>
    <w:rsid w:val="005051C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1">
    <w:name w:val="xl91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92">
    <w:name w:val="xl92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3">
    <w:name w:val="xl93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4">
    <w:name w:val="xl94"/>
    <w:basedOn w:val="Normlny"/>
    <w:rsid w:val="00505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5">
    <w:name w:val="xl95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96">
    <w:name w:val="xl96"/>
    <w:basedOn w:val="Normlny"/>
    <w:rsid w:val="005051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7">
    <w:name w:val="xl97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8">
    <w:name w:val="xl98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99">
    <w:name w:val="xl99"/>
    <w:basedOn w:val="Normlny"/>
    <w:rsid w:val="005051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0">
    <w:name w:val="xl100"/>
    <w:basedOn w:val="Normlny"/>
    <w:rsid w:val="005051C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1">
    <w:name w:val="xl101"/>
    <w:basedOn w:val="Normlny"/>
    <w:rsid w:val="005051C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2">
    <w:name w:val="xl102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3">
    <w:name w:val="xl103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4">
    <w:name w:val="xl104"/>
    <w:basedOn w:val="Normlny"/>
    <w:rsid w:val="005051C8"/>
    <w:pPr>
      <w:pBdr>
        <w:top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105">
    <w:name w:val="xl105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6">
    <w:name w:val="xl106"/>
    <w:basedOn w:val="Normlny"/>
    <w:rsid w:val="005051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07">
    <w:name w:val="xl107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08">
    <w:name w:val="xl108"/>
    <w:basedOn w:val="Normlny"/>
    <w:rsid w:val="005051C8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09">
    <w:name w:val="xl109"/>
    <w:basedOn w:val="Normlny"/>
    <w:rsid w:val="005051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0">
    <w:name w:val="xl110"/>
    <w:basedOn w:val="Normlny"/>
    <w:rsid w:val="005051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11">
    <w:name w:val="xl111"/>
    <w:basedOn w:val="Normlny"/>
    <w:rsid w:val="005051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2">
    <w:name w:val="xl112"/>
    <w:basedOn w:val="Normlny"/>
    <w:rsid w:val="005051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3">
    <w:name w:val="xl113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4">
    <w:name w:val="xl114"/>
    <w:basedOn w:val="Normlny"/>
    <w:rsid w:val="005051C8"/>
    <w:pPr>
      <w:pBdr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15">
    <w:name w:val="xl115"/>
    <w:basedOn w:val="Normlny"/>
    <w:rsid w:val="005051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6">
    <w:name w:val="xl116"/>
    <w:basedOn w:val="Normlny"/>
    <w:rsid w:val="005051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7">
    <w:name w:val="xl117"/>
    <w:basedOn w:val="Normlny"/>
    <w:rsid w:val="005051C8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18">
    <w:name w:val="xl118"/>
    <w:basedOn w:val="Normlny"/>
    <w:rsid w:val="005051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19">
    <w:name w:val="xl119"/>
    <w:basedOn w:val="Normlny"/>
    <w:rsid w:val="005051C8"/>
    <w:pPr>
      <w:pBdr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20">
    <w:name w:val="xl120"/>
    <w:basedOn w:val="Normlny"/>
    <w:rsid w:val="005051C8"/>
    <w:pPr>
      <w:pBdr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21">
    <w:name w:val="xl121"/>
    <w:basedOn w:val="Normlny"/>
    <w:rsid w:val="005051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22">
    <w:name w:val="xl122"/>
    <w:basedOn w:val="Normlny"/>
    <w:rsid w:val="005051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23">
    <w:name w:val="xl123"/>
    <w:basedOn w:val="Normlny"/>
    <w:rsid w:val="005051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24">
    <w:name w:val="xl124"/>
    <w:basedOn w:val="Normlny"/>
    <w:rsid w:val="005051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25">
    <w:name w:val="xl125"/>
    <w:basedOn w:val="Normlny"/>
    <w:rsid w:val="005051C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26">
    <w:name w:val="xl126"/>
    <w:basedOn w:val="Normlny"/>
    <w:rsid w:val="00505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27">
    <w:name w:val="xl127"/>
    <w:basedOn w:val="Normlny"/>
    <w:rsid w:val="005051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28">
    <w:name w:val="xl128"/>
    <w:basedOn w:val="Normlny"/>
    <w:rsid w:val="005051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29">
    <w:name w:val="xl129"/>
    <w:basedOn w:val="Normlny"/>
    <w:rsid w:val="005051C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30">
    <w:name w:val="xl130"/>
    <w:basedOn w:val="Normlny"/>
    <w:rsid w:val="005051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1">
    <w:name w:val="xl131"/>
    <w:basedOn w:val="Normlny"/>
    <w:rsid w:val="005051C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sk-SK"/>
    </w:rPr>
  </w:style>
  <w:style w:type="paragraph" w:customStyle="1" w:styleId="xl132">
    <w:name w:val="xl132"/>
    <w:basedOn w:val="Normlny"/>
    <w:rsid w:val="005051C8"/>
    <w:pPr>
      <w:pBdr>
        <w:top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3">
    <w:name w:val="xl133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4">
    <w:name w:val="xl134"/>
    <w:basedOn w:val="Normlny"/>
    <w:rsid w:val="005051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5">
    <w:name w:val="xl135"/>
    <w:basedOn w:val="Normlny"/>
    <w:rsid w:val="005051C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6">
    <w:name w:val="xl136"/>
    <w:basedOn w:val="Normlny"/>
    <w:rsid w:val="005051C8"/>
    <w:pPr>
      <w:pBdr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7">
    <w:name w:val="xl137"/>
    <w:basedOn w:val="Normlny"/>
    <w:rsid w:val="005051C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38">
    <w:name w:val="xl138"/>
    <w:basedOn w:val="Normlny"/>
    <w:rsid w:val="005051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39">
    <w:name w:val="xl139"/>
    <w:basedOn w:val="Normlny"/>
    <w:rsid w:val="005051C8"/>
    <w:pPr>
      <w:pBdr>
        <w:top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0">
    <w:name w:val="xl140"/>
    <w:basedOn w:val="Normlny"/>
    <w:rsid w:val="005051C8"/>
    <w:pPr>
      <w:pBdr>
        <w:bottom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1">
    <w:name w:val="xl141"/>
    <w:basedOn w:val="Normlny"/>
    <w:rsid w:val="005051C8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2">
    <w:name w:val="xl142"/>
    <w:basedOn w:val="Normlny"/>
    <w:rsid w:val="005051C8"/>
    <w:pPr>
      <w:pBdr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3">
    <w:name w:val="xl143"/>
    <w:basedOn w:val="Normlny"/>
    <w:rsid w:val="005051C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4">
    <w:name w:val="xl144"/>
    <w:basedOn w:val="Normlny"/>
    <w:rsid w:val="005051C8"/>
    <w:pPr>
      <w:pBdr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5">
    <w:name w:val="xl145"/>
    <w:basedOn w:val="Normlny"/>
    <w:rsid w:val="005051C8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46">
    <w:name w:val="xl146"/>
    <w:basedOn w:val="Normlny"/>
    <w:rsid w:val="005051C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7">
    <w:name w:val="xl147"/>
    <w:basedOn w:val="Normlny"/>
    <w:rsid w:val="005051C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48">
    <w:name w:val="xl148"/>
    <w:basedOn w:val="Normlny"/>
    <w:rsid w:val="005051C8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49">
    <w:name w:val="xl149"/>
    <w:basedOn w:val="Normlny"/>
    <w:rsid w:val="005051C8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50">
    <w:name w:val="xl150"/>
    <w:basedOn w:val="Normlny"/>
    <w:rsid w:val="005051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1">
    <w:name w:val="xl151"/>
    <w:basedOn w:val="Normlny"/>
    <w:rsid w:val="005051C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2">
    <w:name w:val="xl152"/>
    <w:basedOn w:val="Normlny"/>
    <w:rsid w:val="005051C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3">
    <w:name w:val="xl153"/>
    <w:basedOn w:val="Normlny"/>
    <w:rsid w:val="005051C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4">
    <w:name w:val="xl154"/>
    <w:basedOn w:val="Normlny"/>
    <w:rsid w:val="005051C8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55">
    <w:name w:val="xl155"/>
    <w:basedOn w:val="Normlny"/>
    <w:rsid w:val="005051C8"/>
    <w:pPr>
      <w:pBdr>
        <w:top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6">
    <w:name w:val="xl156"/>
    <w:basedOn w:val="Normlny"/>
    <w:rsid w:val="005051C8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563C1"/>
      <w:sz w:val="24"/>
      <w:szCs w:val="24"/>
      <w:u w:val="single"/>
      <w:lang w:eastAsia="sk-SK"/>
    </w:rPr>
  </w:style>
  <w:style w:type="paragraph" w:customStyle="1" w:styleId="xl157">
    <w:name w:val="xl157"/>
    <w:basedOn w:val="Normlny"/>
    <w:rsid w:val="005051C8"/>
    <w:pPr>
      <w:pBdr>
        <w:bottom w:val="single" w:sz="8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58">
    <w:name w:val="xl158"/>
    <w:basedOn w:val="Normlny"/>
    <w:rsid w:val="005051C8"/>
    <w:pPr>
      <w:pBdr>
        <w:top w:val="single" w:sz="8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59">
    <w:name w:val="xl159"/>
    <w:basedOn w:val="Normlny"/>
    <w:rsid w:val="005051C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60">
    <w:name w:val="xl160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61">
    <w:name w:val="xl161"/>
    <w:basedOn w:val="Normlny"/>
    <w:rsid w:val="005051C8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62">
    <w:name w:val="xl162"/>
    <w:basedOn w:val="Normlny"/>
    <w:rsid w:val="005051C8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63">
    <w:name w:val="xl163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64">
    <w:name w:val="xl164"/>
    <w:basedOn w:val="Normlny"/>
    <w:rsid w:val="005051C8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65">
    <w:name w:val="xl165"/>
    <w:basedOn w:val="Normlny"/>
    <w:rsid w:val="005051C8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66">
    <w:name w:val="xl166"/>
    <w:basedOn w:val="Normlny"/>
    <w:rsid w:val="005051C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67">
    <w:name w:val="xl167"/>
    <w:basedOn w:val="Normlny"/>
    <w:rsid w:val="005051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168">
    <w:name w:val="xl168"/>
    <w:basedOn w:val="Normlny"/>
    <w:rsid w:val="005051C8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sk-SK"/>
    </w:rPr>
  </w:style>
  <w:style w:type="paragraph" w:customStyle="1" w:styleId="xl169">
    <w:name w:val="xl169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70">
    <w:name w:val="xl170"/>
    <w:basedOn w:val="Normlny"/>
    <w:rsid w:val="005051C8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1">
    <w:name w:val="xl171"/>
    <w:basedOn w:val="Normlny"/>
    <w:rsid w:val="005051C8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2">
    <w:name w:val="xl172"/>
    <w:basedOn w:val="Normlny"/>
    <w:rsid w:val="005051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3">
    <w:name w:val="xl173"/>
    <w:basedOn w:val="Normlny"/>
    <w:rsid w:val="005051C8"/>
    <w:pPr>
      <w:pBdr>
        <w:top w:val="single" w:sz="4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4">
    <w:name w:val="xl174"/>
    <w:basedOn w:val="Normlny"/>
    <w:rsid w:val="005051C8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5">
    <w:name w:val="xl175"/>
    <w:basedOn w:val="Normlny"/>
    <w:rsid w:val="005051C8"/>
    <w:pPr>
      <w:pBdr>
        <w:top w:val="single" w:sz="12" w:space="0" w:color="auto"/>
        <w:left w:val="single" w:sz="4" w:space="0" w:color="auto"/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6">
    <w:name w:val="xl176"/>
    <w:basedOn w:val="Normlny"/>
    <w:rsid w:val="005051C8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77">
    <w:name w:val="xl177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78">
    <w:name w:val="xl178"/>
    <w:basedOn w:val="Normlny"/>
    <w:rsid w:val="005051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79">
    <w:name w:val="xl179"/>
    <w:basedOn w:val="Normlny"/>
    <w:rsid w:val="005051C8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80">
    <w:name w:val="xl180"/>
    <w:basedOn w:val="Normlny"/>
    <w:rsid w:val="005051C8"/>
    <w:pPr>
      <w:pBdr>
        <w:top w:val="single" w:sz="12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1">
    <w:name w:val="xl181"/>
    <w:basedOn w:val="Normlny"/>
    <w:rsid w:val="005051C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2">
    <w:name w:val="xl182"/>
    <w:basedOn w:val="Normlny"/>
    <w:rsid w:val="005051C8"/>
    <w:pPr>
      <w:pBdr>
        <w:top w:val="single" w:sz="12" w:space="0" w:color="auto"/>
        <w:left w:val="double" w:sz="6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3">
    <w:name w:val="xl183"/>
    <w:basedOn w:val="Normlny"/>
    <w:rsid w:val="005051C8"/>
    <w:pPr>
      <w:pBdr>
        <w:top w:val="single" w:sz="12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84">
    <w:name w:val="xl184"/>
    <w:basedOn w:val="Normlny"/>
    <w:rsid w:val="005051C8"/>
    <w:pPr>
      <w:pBdr>
        <w:top w:val="single" w:sz="4" w:space="0" w:color="auto"/>
        <w:left w:val="double" w:sz="6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5">
    <w:name w:val="xl185"/>
    <w:basedOn w:val="Normlny"/>
    <w:rsid w:val="005051C8"/>
    <w:pPr>
      <w:pBdr>
        <w:bottom w:val="single" w:sz="4" w:space="0" w:color="auto"/>
        <w:right w:val="double" w:sz="6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6">
    <w:name w:val="xl186"/>
    <w:basedOn w:val="Normlny"/>
    <w:rsid w:val="005051C8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87">
    <w:name w:val="xl187"/>
    <w:basedOn w:val="Normlny"/>
    <w:rsid w:val="005051C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88">
    <w:name w:val="xl188"/>
    <w:basedOn w:val="Normlny"/>
    <w:rsid w:val="005051C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customStyle="1" w:styleId="xl189">
    <w:name w:val="xl189"/>
    <w:basedOn w:val="Normlny"/>
    <w:rsid w:val="005051C8"/>
    <w:pPr>
      <w:pBdr>
        <w:top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customStyle="1" w:styleId="xl190">
    <w:name w:val="xl190"/>
    <w:basedOn w:val="Normlny"/>
    <w:rsid w:val="005051C8"/>
    <w:pPr>
      <w:pBdr>
        <w:top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customStyle="1" w:styleId="Standardnpsmoodstavce">
    <w:name w:val="Standardní písmo odstavce"/>
    <w:rsid w:val="005051C8"/>
  </w:style>
  <w:style w:type="paragraph" w:customStyle="1" w:styleId="Normln">
    <w:name w:val="Normální"/>
    <w:rsid w:val="005051C8"/>
    <w:pPr>
      <w:suppressAutoHyphens/>
      <w:autoSpaceDN w:val="0"/>
      <w:spacing w:after="0" w:line="240" w:lineRule="auto"/>
      <w:jc w:val="both"/>
      <w:textAlignment w:val="baseline"/>
    </w:pPr>
    <w:rPr>
      <w:rFonts w:ascii="Calibri" w:eastAsia="Calibri" w:hAnsi="Calibri" w:cs="Times New Roman"/>
    </w:rPr>
  </w:style>
  <w:style w:type="paragraph" w:customStyle="1" w:styleId="Standard">
    <w:name w:val="Standard"/>
    <w:rsid w:val="005051C8"/>
    <w:pPr>
      <w:suppressAutoHyphens/>
      <w:autoSpaceDN w:val="0"/>
      <w:spacing w:line="256" w:lineRule="auto"/>
      <w:textAlignment w:val="baseline"/>
    </w:pPr>
    <w:rPr>
      <w:rFonts w:ascii="Calibri" w:eastAsia="Lucida Sans Unicode" w:hAnsi="Calibri" w:cs="Tahoma"/>
      <w:kern w:val="3"/>
    </w:rPr>
  </w:style>
  <w:style w:type="paragraph" w:styleId="Hlavikaobsahu">
    <w:name w:val="TOC Heading"/>
    <w:basedOn w:val="Nadpis1"/>
    <w:next w:val="Normlny"/>
    <w:uiPriority w:val="39"/>
    <w:unhideWhenUsed/>
    <w:qFormat/>
    <w:rsid w:val="005051C8"/>
    <w:pPr>
      <w:spacing w:line="259" w:lineRule="auto"/>
      <w:outlineLvl w:val="9"/>
    </w:pPr>
    <w:rPr>
      <w:lang w:val="en-US"/>
    </w:rPr>
  </w:style>
  <w:style w:type="paragraph" w:styleId="Obsah2">
    <w:name w:val="toc 2"/>
    <w:basedOn w:val="Normlny"/>
    <w:next w:val="Normlny"/>
    <w:autoRedefine/>
    <w:uiPriority w:val="39"/>
    <w:unhideWhenUsed/>
    <w:rsid w:val="005051C8"/>
    <w:pPr>
      <w:spacing w:after="100"/>
      <w:ind w:left="220"/>
    </w:pPr>
  </w:style>
  <w:style w:type="paragraph" w:styleId="Obsah1">
    <w:name w:val="toc 1"/>
    <w:basedOn w:val="Normlny"/>
    <w:next w:val="Normlny"/>
    <w:autoRedefine/>
    <w:uiPriority w:val="39"/>
    <w:unhideWhenUsed/>
    <w:rsid w:val="005051C8"/>
    <w:pPr>
      <w:tabs>
        <w:tab w:val="left" w:pos="440"/>
        <w:tab w:val="right" w:leader="dot" w:pos="9061"/>
      </w:tabs>
      <w:spacing w:after="100"/>
    </w:pPr>
  </w:style>
  <w:style w:type="paragraph" w:styleId="Popis">
    <w:name w:val="caption"/>
    <w:basedOn w:val="Normlny"/>
    <w:next w:val="Normlny"/>
    <w:uiPriority w:val="35"/>
    <w:unhideWhenUsed/>
    <w:qFormat/>
    <w:rsid w:val="005051C8"/>
    <w:pPr>
      <w:spacing w:line="240" w:lineRule="auto"/>
    </w:pPr>
    <w:rPr>
      <w:rFonts w:ascii="Times New Roman" w:hAnsi="Times New Roman"/>
      <w:i/>
      <w:iCs/>
      <w:sz w:val="20"/>
      <w:szCs w:val="18"/>
    </w:rPr>
  </w:style>
  <w:style w:type="paragraph" w:styleId="Zoznamobrzkov">
    <w:name w:val="table of figures"/>
    <w:basedOn w:val="Normlny"/>
    <w:next w:val="Normlny"/>
    <w:uiPriority w:val="99"/>
    <w:unhideWhenUsed/>
    <w:rsid w:val="005051C8"/>
    <w:pPr>
      <w:spacing w:after="0"/>
    </w:pPr>
  </w:style>
  <w:style w:type="paragraph" w:customStyle="1" w:styleId="Default">
    <w:name w:val="Default"/>
    <w:rsid w:val="005051C8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Bezriadkovania">
    <w:name w:val="No Spacing"/>
    <w:link w:val="BezriadkovaniaChar"/>
    <w:uiPriority w:val="1"/>
    <w:qFormat/>
    <w:rsid w:val="005051C8"/>
    <w:pPr>
      <w:spacing w:after="0" w:line="240" w:lineRule="auto"/>
    </w:pPr>
    <w:rPr>
      <w:rFonts w:eastAsiaTheme="minorEastAsia"/>
      <w:lang w:eastAsia="sk-SK"/>
    </w:rPr>
  </w:style>
  <w:style w:type="character" w:customStyle="1" w:styleId="BezriadkovaniaChar">
    <w:name w:val="Bez riadkovania Char"/>
    <w:basedOn w:val="Predvolenpsmoodseku"/>
    <w:link w:val="Bezriadkovania"/>
    <w:uiPriority w:val="1"/>
    <w:rsid w:val="005051C8"/>
    <w:rPr>
      <w:rFonts w:eastAsiaTheme="minorEastAsia"/>
      <w:lang w:eastAsia="sk-SK"/>
    </w:rPr>
  </w:style>
  <w:style w:type="character" w:customStyle="1" w:styleId="kidslogotext">
    <w:name w:val="kids_logo_text"/>
    <w:basedOn w:val="Predvolenpsmoodseku"/>
    <w:rsid w:val="005051C8"/>
  </w:style>
  <w:style w:type="paragraph" w:styleId="Obsah3">
    <w:name w:val="toc 3"/>
    <w:basedOn w:val="Normlny"/>
    <w:next w:val="Normlny"/>
    <w:autoRedefine/>
    <w:uiPriority w:val="39"/>
    <w:unhideWhenUsed/>
    <w:rsid w:val="005051C8"/>
    <w:pPr>
      <w:spacing w:after="100"/>
      <w:ind w:left="440"/>
    </w:pPr>
  </w:style>
  <w:style w:type="paragraph" w:styleId="Zarkazkladnhotextu">
    <w:name w:val="Body Text Indent"/>
    <w:basedOn w:val="Normlny"/>
    <w:link w:val="ZarkazkladnhotextuChar"/>
    <w:uiPriority w:val="99"/>
    <w:rsid w:val="005051C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5051C8"/>
    <w:rPr>
      <w:rFonts w:ascii="Times New Roman" w:eastAsia="Times New Roman" w:hAnsi="Times New Roman" w:cs="Times New Roman"/>
      <w:sz w:val="24"/>
      <w:szCs w:val="20"/>
      <w:lang w:eastAsia="sk-SK"/>
    </w:rPr>
  </w:style>
  <w:style w:type="numbering" w:customStyle="1" w:styleId="WWOutlineListStyle">
    <w:name w:val="WW_OutlineListStyle"/>
    <w:basedOn w:val="Bezzoznamu"/>
    <w:rsid w:val="005051C8"/>
    <w:pPr>
      <w:numPr>
        <w:numId w:val="18"/>
      </w:numPr>
    </w:pPr>
  </w:style>
  <w:style w:type="paragraph" w:customStyle="1" w:styleId="Podnadpis">
    <w:name w:val="Podnadpis"/>
    <w:basedOn w:val="Normlny"/>
    <w:next w:val="Normlny"/>
    <w:rsid w:val="005051C8"/>
    <w:pPr>
      <w:keepNext/>
      <w:keepLines/>
      <w:suppressAutoHyphens/>
      <w:autoSpaceDN w:val="0"/>
      <w:spacing w:before="480" w:after="120" w:line="360" w:lineRule="auto"/>
      <w:jc w:val="both"/>
      <w:textAlignment w:val="baseline"/>
    </w:pPr>
    <w:rPr>
      <w:rFonts w:ascii="Times New Roman" w:eastAsia="Calibri" w:hAnsi="Times New Roman" w:cs="Times New Roman"/>
      <w:b/>
      <w:smallCaps/>
      <w:sz w:val="24"/>
      <w:szCs w:val="24"/>
    </w:rPr>
  </w:style>
  <w:style w:type="character" w:styleId="Zstupntext">
    <w:name w:val="Placeholder Text"/>
    <w:rsid w:val="005051C8"/>
    <w:rPr>
      <w:color w:val="808080"/>
    </w:rPr>
  </w:style>
  <w:style w:type="character" w:customStyle="1" w:styleId="PodnadpisChar">
    <w:name w:val="Podnadpis Char"/>
    <w:rsid w:val="005051C8"/>
    <w:rPr>
      <w:rFonts w:ascii="Times New Roman" w:hAnsi="Times New Roman"/>
      <w:b/>
      <w:smallCaps/>
      <w:sz w:val="24"/>
    </w:rPr>
  </w:style>
  <w:style w:type="paragraph" w:styleId="Nzov">
    <w:name w:val="Title"/>
    <w:next w:val="Normlny"/>
    <w:link w:val="NzovChar"/>
    <w:qFormat/>
    <w:rsid w:val="005051C8"/>
    <w:pPr>
      <w:suppressAutoHyphens/>
      <w:autoSpaceDN w:val="0"/>
      <w:spacing w:after="300" w:line="240" w:lineRule="auto"/>
      <w:jc w:val="center"/>
      <w:textAlignment w:val="baseline"/>
    </w:pPr>
    <w:rPr>
      <w:rFonts w:ascii="Times New Roman" w:eastAsia="Times New Roman" w:hAnsi="Times New Roman" w:cs="Times New Roman"/>
      <w:caps/>
      <w:spacing w:val="5"/>
      <w:kern w:val="3"/>
      <w:sz w:val="36"/>
      <w:szCs w:val="52"/>
      <w:lang w:val="cs-CZ"/>
    </w:rPr>
  </w:style>
  <w:style w:type="character" w:customStyle="1" w:styleId="NzovChar">
    <w:name w:val="Názov Char"/>
    <w:basedOn w:val="Predvolenpsmoodseku"/>
    <w:link w:val="Nzov"/>
    <w:rsid w:val="005051C8"/>
    <w:rPr>
      <w:rFonts w:ascii="Times New Roman" w:eastAsia="Times New Roman" w:hAnsi="Times New Roman" w:cs="Times New Roman"/>
      <w:caps/>
      <w:spacing w:val="5"/>
      <w:kern w:val="3"/>
      <w:sz w:val="36"/>
      <w:szCs w:val="52"/>
      <w:lang w:val="cs-CZ"/>
    </w:rPr>
  </w:style>
  <w:style w:type="character" w:customStyle="1" w:styleId="NzevChar">
    <w:name w:val="Název Char"/>
    <w:rsid w:val="005051C8"/>
    <w:rPr>
      <w:rFonts w:ascii="Times New Roman" w:eastAsia="Times New Roman" w:hAnsi="Times New Roman" w:cs="Times New Roman"/>
      <w:caps/>
      <w:spacing w:val="5"/>
      <w:kern w:val="3"/>
      <w:sz w:val="36"/>
      <w:szCs w:val="52"/>
    </w:rPr>
  </w:style>
  <w:style w:type="paragraph" w:styleId="Podtitul">
    <w:name w:val="Subtitle"/>
    <w:next w:val="Normlny"/>
    <w:link w:val="PodtitulChar"/>
    <w:rsid w:val="005051C8"/>
    <w:pPr>
      <w:suppressAutoHyphens/>
      <w:autoSpaceDN w:val="0"/>
      <w:spacing w:after="200" w:line="276" w:lineRule="auto"/>
      <w:jc w:val="center"/>
      <w:textAlignment w:val="baseline"/>
    </w:pPr>
    <w:rPr>
      <w:rFonts w:ascii="Times New Roman" w:eastAsia="Times New Roman" w:hAnsi="Times New Roman" w:cs="Times New Roman"/>
      <w:iCs/>
      <w:spacing w:val="15"/>
      <w:sz w:val="32"/>
      <w:szCs w:val="24"/>
      <w:lang w:val="cs-CZ"/>
    </w:rPr>
  </w:style>
  <w:style w:type="character" w:customStyle="1" w:styleId="PodtitulChar">
    <w:name w:val="Podtitul Char"/>
    <w:basedOn w:val="Predvolenpsmoodseku"/>
    <w:link w:val="Podtitul"/>
    <w:rsid w:val="005051C8"/>
    <w:rPr>
      <w:rFonts w:ascii="Times New Roman" w:eastAsia="Times New Roman" w:hAnsi="Times New Roman" w:cs="Times New Roman"/>
      <w:iCs/>
      <w:spacing w:val="15"/>
      <w:sz w:val="32"/>
      <w:szCs w:val="24"/>
      <w:lang w:val="cs-CZ"/>
    </w:rPr>
  </w:style>
  <w:style w:type="paragraph" w:customStyle="1" w:styleId="Levstyl">
    <w:name w:val="Levý styl"/>
    <w:basedOn w:val="Podtitul"/>
    <w:rsid w:val="005051C8"/>
    <w:pPr>
      <w:jc w:val="left"/>
    </w:pPr>
  </w:style>
  <w:style w:type="paragraph" w:customStyle="1" w:styleId="Pravstyl">
    <w:name w:val="Pravý styl"/>
    <w:basedOn w:val="Levstyl"/>
    <w:rsid w:val="005051C8"/>
    <w:pPr>
      <w:jc w:val="right"/>
    </w:pPr>
  </w:style>
  <w:style w:type="character" w:customStyle="1" w:styleId="LevstylChar">
    <w:name w:val="Levý styl Char"/>
    <w:rsid w:val="005051C8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Univerzita">
    <w:name w:val="tit.str.Univerzita"/>
    <w:basedOn w:val="Nzov"/>
    <w:rsid w:val="005051C8"/>
    <w:rPr>
      <w:b/>
      <w:sz w:val="32"/>
    </w:rPr>
  </w:style>
  <w:style w:type="character" w:customStyle="1" w:styleId="PravstylChar">
    <w:name w:val="Pravý styl Char"/>
    <w:rsid w:val="005051C8"/>
    <w:rPr>
      <w:rFonts w:ascii="Times New Roman" w:eastAsia="Times New Roman" w:hAnsi="Times New Roman" w:cs="Times New Roman"/>
      <w:iCs/>
      <w:spacing w:val="15"/>
      <w:sz w:val="32"/>
      <w:szCs w:val="24"/>
    </w:rPr>
  </w:style>
  <w:style w:type="paragraph" w:customStyle="1" w:styleId="titstrFakulta">
    <w:name w:val="tit.str.Fakulta"/>
    <w:basedOn w:val="Podtitul"/>
    <w:rsid w:val="005051C8"/>
    <w:pPr>
      <w:spacing w:before="120" w:after="360"/>
    </w:pPr>
    <w:rPr>
      <w:b/>
      <w:sz w:val="28"/>
      <w:szCs w:val="28"/>
    </w:rPr>
  </w:style>
  <w:style w:type="character" w:customStyle="1" w:styleId="titstrUniverzitaChar">
    <w:name w:val="tit.str.Univerzita Char"/>
    <w:rsid w:val="005051C8"/>
    <w:rPr>
      <w:rFonts w:ascii="Times New Roman" w:eastAsia="Times New Roman" w:hAnsi="Times New Roman" w:cs="Times New Roman"/>
      <w:b/>
      <w:caps/>
      <w:spacing w:val="5"/>
      <w:kern w:val="3"/>
      <w:sz w:val="32"/>
      <w:szCs w:val="52"/>
    </w:rPr>
  </w:style>
  <w:style w:type="paragraph" w:customStyle="1" w:styleId="titstrnormln">
    <w:name w:val="tit.str.normální"/>
    <w:basedOn w:val="Normlny"/>
    <w:rsid w:val="005051C8"/>
    <w:pPr>
      <w:suppressAutoHyphens/>
      <w:autoSpaceDN w:val="0"/>
      <w:spacing w:before="240" w:after="120" w:line="360" w:lineRule="auto"/>
      <w:jc w:val="center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titstrFakultaChar">
    <w:name w:val="tit.str.Fakulta Char"/>
    <w:rsid w:val="005051C8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paragraph" w:customStyle="1" w:styleId="titstrlevo">
    <w:name w:val="tit.str.levo"/>
    <w:basedOn w:val="titstrnormln"/>
    <w:rsid w:val="005051C8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spacing w:line="264" w:lineRule="auto"/>
      <w:jc w:val="left"/>
    </w:pPr>
  </w:style>
  <w:style w:type="character" w:customStyle="1" w:styleId="titstrnormlnChar">
    <w:name w:val="tit.str.normální Char"/>
    <w:rsid w:val="005051C8"/>
    <w:rPr>
      <w:rFonts w:ascii="Times New Roman" w:hAnsi="Times New Roman"/>
      <w:sz w:val="24"/>
    </w:rPr>
  </w:style>
  <w:style w:type="paragraph" w:customStyle="1" w:styleId="titstrpravo">
    <w:name w:val="tit.str.pravo"/>
    <w:basedOn w:val="titstrlevo"/>
    <w:rsid w:val="005051C8"/>
    <w:pPr>
      <w:jc w:val="right"/>
    </w:pPr>
  </w:style>
  <w:style w:type="character" w:customStyle="1" w:styleId="titstrlevoChar">
    <w:name w:val="tit.str.levo Char"/>
    <w:rsid w:val="005051C8"/>
    <w:rPr>
      <w:rFonts w:ascii="Times New Roman" w:hAnsi="Times New Roman"/>
      <w:sz w:val="24"/>
    </w:rPr>
  </w:style>
  <w:style w:type="paragraph" w:customStyle="1" w:styleId="Obsahatp">
    <w:name w:val="Obsah atp."/>
    <w:basedOn w:val="Nadpis1"/>
    <w:next w:val="Normlny"/>
    <w:rsid w:val="005051C8"/>
    <w:pPr>
      <w:numPr>
        <w:numId w:val="0"/>
      </w:numPr>
      <w:suppressAutoHyphens/>
      <w:autoSpaceDN w:val="0"/>
      <w:spacing w:before="600" w:after="240" w:line="360" w:lineRule="auto"/>
      <w:jc w:val="both"/>
      <w:textAlignment w:val="baseline"/>
    </w:pPr>
    <w:rPr>
      <w:rFonts w:ascii="Times New Roman" w:eastAsia="Times New Roman" w:hAnsi="Times New Roman" w:cs="Times New Roman"/>
      <w:bCs/>
      <w:szCs w:val="28"/>
    </w:rPr>
  </w:style>
  <w:style w:type="character" w:customStyle="1" w:styleId="titstrpravoChar">
    <w:name w:val="tit.str.pravo Char"/>
    <w:rsid w:val="005051C8"/>
    <w:rPr>
      <w:rFonts w:ascii="Times New Roman" w:hAnsi="Times New Roman"/>
      <w:sz w:val="24"/>
    </w:rPr>
  </w:style>
  <w:style w:type="paragraph" w:customStyle="1" w:styleId="Nnadpis">
    <w:name w:val="N. nadpis"/>
    <w:basedOn w:val="Nadpis1"/>
    <w:next w:val="Normlny"/>
    <w:link w:val="NnadpisChar1"/>
    <w:rsid w:val="005051C8"/>
    <w:pPr>
      <w:pageBreakBefore/>
      <w:numPr>
        <w:numId w:val="0"/>
      </w:numPr>
      <w:suppressAutoHyphens/>
      <w:autoSpaceDN w:val="0"/>
      <w:spacing w:before="600" w:after="240" w:line="360" w:lineRule="auto"/>
      <w:jc w:val="both"/>
      <w:textAlignment w:val="baseline"/>
    </w:pPr>
    <w:rPr>
      <w:rFonts w:ascii="Times New Roman" w:eastAsia="Times New Roman" w:hAnsi="Times New Roman" w:cs="Times New Roman"/>
      <w:bCs/>
      <w:szCs w:val="28"/>
      <w:lang w:val="cs-CZ"/>
    </w:rPr>
  </w:style>
  <w:style w:type="character" w:customStyle="1" w:styleId="ObsahatpChar">
    <w:name w:val="Obsah atp. Char"/>
    <w:rsid w:val="005051C8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NnadpisChar">
    <w:name w:val="N. nadpis Char"/>
    <w:rsid w:val="005051C8"/>
    <w:rPr>
      <w:rFonts w:ascii="Times New Roman" w:eastAsia="Times New Roman" w:hAnsi="Times New Roman" w:cs="Times New Roman"/>
      <w:b/>
      <w:bCs/>
      <w:sz w:val="32"/>
      <w:szCs w:val="28"/>
    </w:rPr>
  </w:style>
  <w:style w:type="character" w:customStyle="1" w:styleId="TextpoznpodarouChar">
    <w:name w:val="Text pozn. pod čarou Char"/>
    <w:rsid w:val="005051C8"/>
    <w:rPr>
      <w:rFonts w:ascii="Times New Roman" w:hAnsi="Times New Roman"/>
      <w:spacing w:val="-6"/>
      <w:sz w:val="20"/>
      <w:szCs w:val="20"/>
    </w:rPr>
  </w:style>
  <w:style w:type="character" w:customStyle="1" w:styleId="ZhlavChar">
    <w:name w:val="Záhlaví Char"/>
    <w:rsid w:val="005051C8"/>
    <w:rPr>
      <w:rFonts w:ascii="Times New Roman" w:hAnsi="Times New Roman"/>
      <w:sz w:val="24"/>
    </w:rPr>
  </w:style>
  <w:style w:type="character" w:customStyle="1" w:styleId="ZpatChar">
    <w:name w:val="Zápatí Char"/>
    <w:rsid w:val="005051C8"/>
    <w:rPr>
      <w:rFonts w:ascii="Times New Roman" w:hAnsi="Times New Roman"/>
      <w:sz w:val="24"/>
    </w:rPr>
  </w:style>
  <w:style w:type="paragraph" w:customStyle="1" w:styleId="Ploha">
    <w:name w:val="Příloha"/>
    <w:basedOn w:val="Nnadpis"/>
    <w:next w:val="Normlny"/>
    <w:rsid w:val="005051C8"/>
    <w:pPr>
      <w:numPr>
        <w:numId w:val="14"/>
      </w:numPr>
      <w:ind w:left="360" w:hanging="360"/>
    </w:pPr>
  </w:style>
  <w:style w:type="character" w:customStyle="1" w:styleId="PlohaChar">
    <w:name w:val="Příloha Char"/>
    <w:rsid w:val="005051C8"/>
    <w:rPr>
      <w:rFonts w:ascii="Times New Roman" w:eastAsia="Times New Roman" w:hAnsi="Times New Roman" w:cs="Times New Roman"/>
      <w:b/>
      <w:bCs/>
      <w:sz w:val="32"/>
      <w:szCs w:val="28"/>
    </w:rPr>
  </w:style>
  <w:style w:type="paragraph" w:customStyle="1" w:styleId="Tabulka">
    <w:name w:val="Tabulka"/>
    <w:basedOn w:val="Normlny"/>
    <w:rsid w:val="005051C8"/>
    <w:pPr>
      <w:suppressAutoHyphens/>
      <w:autoSpaceDN w:val="0"/>
      <w:spacing w:after="0" w:line="240" w:lineRule="auto"/>
      <w:jc w:val="both"/>
      <w:textAlignment w:val="baseline"/>
    </w:pPr>
    <w:rPr>
      <w:rFonts w:ascii="Times New Roman" w:eastAsia="Calibri" w:hAnsi="Times New Roman" w:cs="Times New Roman"/>
      <w:spacing w:val="-6"/>
      <w:sz w:val="20"/>
      <w:szCs w:val="20"/>
    </w:rPr>
  </w:style>
  <w:style w:type="character" w:customStyle="1" w:styleId="TabulkaChar">
    <w:name w:val="Tabulka Char"/>
    <w:rsid w:val="005051C8"/>
    <w:rPr>
      <w:rFonts w:ascii="Times New Roman" w:hAnsi="Times New Roman"/>
      <w:spacing w:val="-6"/>
      <w:sz w:val="20"/>
      <w:szCs w:val="20"/>
    </w:rPr>
  </w:style>
  <w:style w:type="paragraph" w:customStyle="1" w:styleId="Zdroj">
    <w:name w:val="Zdroj"/>
    <w:basedOn w:val="Normlny"/>
    <w:next w:val="Normlny"/>
    <w:rsid w:val="005051C8"/>
    <w:pPr>
      <w:suppressAutoHyphens/>
      <w:autoSpaceDN w:val="0"/>
      <w:spacing w:before="120" w:after="240" w:line="240" w:lineRule="auto"/>
      <w:jc w:val="both"/>
      <w:textAlignment w:val="baseline"/>
    </w:pPr>
    <w:rPr>
      <w:rFonts w:ascii="Times New Roman" w:eastAsia="Calibri" w:hAnsi="Times New Roman" w:cs="Times New Roman"/>
      <w:sz w:val="20"/>
      <w:szCs w:val="20"/>
    </w:rPr>
  </w:style>
  <w:style w:type="paragraph" w:customStyle="1" w:styleId="Odrky">
    <w:name w:val="Odrážky"/>
    <w:basedOn w:val="Odsekzoznamu"/>
    <w:rsid w:val="005051C8"/>
    <w:pPr>
      <w:numPr>
        <w:numId w:val="15"/>
      </w:numPr>
      <w:suppressAutoHyphens/>
      <w:autoSpaceDN w:val="0"/>
      <w:spacing w:before="240" w:after="120" w:line="360" w:lineRule="auto"/>
      <w:contextualSpacing w:val="0"/>
      <w:jc w:val="both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ZdrojChar">
    <w:name w:val="Zdroj Char"/>
    <w:rsid w:val="005051C8"/>
    <w:rPr>
      <w:rFonts w:ascii="Times New Roman" w:hAnsi="Times New Roman"/>
      <w:sz w:val="20"/>
      <w:szCs w:val="20"/>
    </w:rPr>
  </w:style>
  <w:style w:type="paragraph" w:customStyle="1" w:styleId="slovn">
    <w:name w:val="Číslování"/>
    <w:basedOn w:val="Odrky"/>
    <w:rsid w:val="005051C8"/>
    <w:pPr>
      <w:numPr>
        <w:numId w:val="16"/>
      </w:numPr>
    </w:pPr>
  </w:style>
  <w:style w:type="character" w:customStyle="1" w:styleId="OdstavecseseznamemChar">
    <w:name w:val="Odstavec se seznamem Char"/>
    <w:rsid w:val="005051C8"/>
    <w:rPr>
      <w:rFonts w:ascii="Times New Roman" w:hAnsi="Times New Roman"/>
      <w:sz w:val="24"/>
    </w:rPr>
  </w:style>
  <w:style w:type="character" w:customStyle="1" w:styleId="OdrkyChar">
    <w:name w:val="Odrážky Char"/>
    <w:rsid w:val="005051C8"/>
    <w:rPr>
      <w:rFonts w:ascii="Times New Roman" w:hAnsi="Times New Roman"/>
      <w:sz w:val="24"/>
    </w:rPr>
  </w:style>
  <w:style w:type="paragraph" w:customStyle="1" w:styleId="Literatura">
    <w:name w:val="Literatura"/>
    <w:basedOn w:val="Odsekzoznamu"/>
    <w:rsid w:val="005051C8"/>
    <w:pPr>
      <w:numPr>
        <w:numId w:val="17"/>
      </w:numPr>
      <w:suppressAutoHyphens/>
      <w:autoSpaceDN w:val="0"/>
      <w:spacing w:before="240" w:after="120" w:line="360" w:lineRule="auto"/>
      <w:contextualSpacing w:val="0"/>
      <w:jc w:val="both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slovnChar">
    <w:name w:val="Číslování Char"/>
    <w:rsid w:val="005051C8"/>
    <w:rPr>
      <w:rFonts w:ascii="Times New Roman" w:hAnsi="Times New Roman"/>
      <w:sz w:val="24"/>
    </w:rPr>
  </w:style>
  <w:style w:type="character" w:customStyle="1" w:styleId="LiteraturaChar">
    <w:name w:val="Literatura Char"/>
    <w:rsid w:val="005051C8"/>
    <w:rPr>
      <w:rFonts w:ascii="Times New Roman" w:hAnsi="Times New Roman"/>
      <w:sz w:val="24"/>
    </w:rPr>
  </w:style>
  <w:style w:type="paragraph" w:customStyle="1" w:styleId="Kd">
    <w:name w:val="Kód"/>
    <w:basedOn w:val="Normlny"/>
    <w:rsid w:val="005051C8"/>
    <w:pPr>
      <w:suppressAutoHyphens/>
      <w:autoSpaceDN w:val="0"/>
      <w:spacing w:before="240" w:after="120" w:line="264" w:lineRule="auto"/>
      <w:jc w:val="both"/>
      <w:textAlignment w:val="baseline"/>
    </w:pPr>
    <w:rPr>
      <w:rFonts w:ascii="Courier New" w:eastAsia="Calibri" w:hAnsi="Courier New" w:cs="Courier New"/>
      <w:sz w:val="20"/>
      <w:szCs w:val="20"/>
    </w:rPr>
  </w:style>
  <w:style w:type="character" w:customStyle="1" w:styleId="KdChar">
    <w:name w:val="Kód Char"/>
    <w:rsid w:val="005051C8"/>
    <w:rPr>
      <w:rFonts w:ascii="Courier New" w:hAnsi="Courier New" w:cs="Courier New"/>
      <w:sz w:val="20"/>
      <w:szCs w:val="20"/>
    </w:rPr>
  </w:style>
  <w:style w:type="paragraph" w:customStyle="1" w:styleId="titstrnzev">
    <w:name w:val="tit.str.název"/>
    <w:basedOn w:val="titstrFakulta"/>
    <w:rsid w:val="005051C8"/>
  </w:style>
  <w:style w:type="character" w:customStyle="1" w:styleId="titstrnzevChar">
    <w:name w:val="tit.str.název Char"/>
    <w:rsid w:val="005051C8"/>
    <w:rPr>
      <w:rFonts w:ascii="Times New Roman" w:eastAsia="Times New Roman" w:hAnsi="Times New Roman" w:cs="Times New Roman"/>
      <w:b/>
      <w:iCs/>
      <w:spacing w:val="15"/>
      <w:sz w:val="28"/>
      <w:szCs w:val="28"/>
    </w:rPr>
  </w:style>
  <w:style w:type="numbering" w:customStyle="1" w:styleId="Styl1">
    <w:name w:val="Styl1"/>
    <w:basedOn w:val="Bezzoznamu"/>
    <w:rsid w:val="005051C8"/>
    <w:pPr>
      <w:numPr>
        <w:numId w:val="12"/>
      </w:numPr>
    </w:pPr>
  </w:style>
  <w:style w:type="numbering" w:customStyle="1" w:styleId="Styl2">
    <w:name w:val="Styl2"/>
    <w:basedOn w:val="Bezzoznamu"/>
    <w:rsid w:val="005051C8"/>
    <w:pPr>
      <w:numPr>
        <w:numId w:val="13"/>
      </w:numPr>
    </w:pPr>
  </w:style>
  <w:style w:type="numbering" w:customStyle="1" w:styleId="LFO8">
    <w:name w:val="LFO8"/>
    <w:basedOn w:val="Bezzoznamu"/>
    <w:rsid w:val="005051C8"/>
    <w:pPr>
      <w:numPr>
        <w:numId w:val="14"/>
      </w:numPr>
    </w:pPr>
  </w:style>
  <w:style w:type="numbering" w:customStyle="1" w:styleId="LFO9">
    <w:name w:val="LFO9"/>
    <w:basedOn w:val="Bezzoznamu"/>
    <w:rsid w:val="005051C8"/>
    <w:pPr>
      <w:numPr>
        <w:numId w:val="15"/>
      </w:numPr>
    </w:pPr>
  </w:style>
  <w:style w:type="numbering" w:customStyle="1" w:styleId="LFO10">
    <w:name w:val="LFO10"/>
    <w:basedOn w:val="Bezzoznamu"/>
    <w:rsid w:val="005051C8"/>
    <w:pPr>
      <w:numPr>
        <w:numId w:val="16"/>
      </w:numPr>
    </w:pPr>
  </w:style>
  <w:style w:type="numbering" w:customStyle="1" w:styleId="LFO11">
    <w:name w:val="LFO11"/>
    <w:basedOn w:val="Bezzoznamu"/>
    <w:rsid w:val="005051C8"/>
    <w:pPr>
      <w:numPr>
        <w:numId w:val="17"/>
      </w:numPr>
    </w:pPr>
  </w:style>
  <w:style w:type="paragraph" w:customStyle="1" w:styleId="Napis1">
    <w:name w:val="Napis 1"/>
    <w:basedOn w:val="Nadpis1"/>
    <w:link w:val="Napis1Char"/>
    <w:qFormat/>
    <w:rsid w:val="005051C8"/>
    <w:pPr>
      <w:pageBreakBefore/>
      <w:suppressAutoHyphens/>
      <w:autoSpaceDN w:val="0"/>
      <w:spacing w:before="480" w:after="120" w:line="360" w:lineRule="auto"/>
      <w:jc w:val="both"/>
      <w:textAlignment w:val="baseline"/>
    </w:pPr>
    <w:rPr>
      <w:rFonts w:ascii="Times New Roman" w:eastAsia="Times New Roman" w:hAnsi="Times New Roman" w:cs="Times New Roman"/>
      <w:bCs/>
      <w:szCs w:val="28"/>
      <w:lang w:val="cs-CZ"/>
    </w:rPr>
  </w:style>
  <w:style w:type="paragraph" w:customStyle="1" w:styleId="Napis2">
    <w:name w:val="Napis 2"/>
    <w:basedOn w:val="Nadpis2"/>
    <w:link w:val="Napis2Char"/>
    <w:qFormat/>
    <w:rsid w:val="005051C8"/>
    <w:pPr>
      <w:suppressAutoHyphens/>
      <w:autoSpaceDN w:val="0"/>
      <w:spacing w:before="240" w:after="120" w:line="360" w:lineRule="auto"/>
      <w:jc w:val="both"/>
      <w:textAlignment w:val="baseline"/>
    </w:pPr>
    <w:rPr>
      <w:rFonts w:eastAsia="Times New Roman" w:cs="Times New Roman"/>
      <w:bCs/>
      <w:sz w:val="28"/>
      <w:lang w:val="cs-CZ"/>
    </w:rPr>
  </w:style>
  <w:style w:type="character" w:customStyle="1" w:styleId="Nadpis1Char1">
    <w:name w:val="Nadpis 1 Char1"/>
    <w:basedOn w:val="Predvolenpsmoodseku"/>
    <w:rsid w:val="005051C8"/>
    <w:rPr>
      <w:rFonts w:ascii="Times New Roman" w:eastAsia="Times New Roman" w:hAnsi="Times New Roman"/>
      <w:b/>
      <w:bCs/>
      <w:sz w:val="32"/>
      <w:szCs w:val="28"/>
      <w:lang w:val="cs-CZ" w:eastAsia="en-US"/>
    </w:rPr>
  </w:style>
  <w:style w:type="character" w:customStyle="1" w:styleId="Napis1Char">
    <w:name w:val="Napis 1 Char"/>
    <w:basedOn w:val="Nadpis1Char1"/>
    <w:link w:val="Napis1"/>
    <w:rsid w:val="005051C8"/>
    <w:rPr>
      <w:rFonts w:ascii="Times New Roman" w:eastAsia="Times New Roman" w:hAnsi="Times New Roman" w:cs="Times New Roman"/>
      <w:b/>
      <w:bCs/>
      <w:sz w:val="32"/>
      <w:szCs w:val="28"/>
      <w:lang w:val="cs-CZ" w:eastAsia="en-US"/>
    </w:rPr>
  </w:style>
  <w:style w:type="paragraph" w:customStyle="1" w:styleId="Nadpis30">
    <w:name w:val="Nadpis3"/>
    <w:basedOn w:val="Nadpis3"/>
    <w:link w:val="Nadpis3Char0"/>
    <w:qFormat/>
    <w:rsid w:val="005051C8"/>
    <w:pPr>
      <w:suppressAutoHyphens/>
      <w:autoSpaceDN w:val="0"/>
      <w:spacing w:before="200" w:line="360" w:lineRule="auto"/>
      <w:jc w:val="both"/>
      <w:textAlignment w:val="baseline"/>
    </w:pPr>
    <w:rPr>
      <w:rFonts w:ascii="Times New Roman" w:eastAsia="Times New Roman" w:hAnsi="Times New Roman" w:cs="Times New Roman"/>
      <w:b/>
      <w:bCs/>
      <w:color w:val="auto"/>
      <w:lang w:val="cs-CZ"/>
    </w:rPr>
  </w:style>
  <w:style w:type="character" w:customStyle="1" w:styleId="Nadpis2Char1">
    <w:name w:val="Nadpis 2 Char1"/>
    <w:basedOn w:val="Predvolenpsmoodseku"/>
    <w:rsid w:val="005051C8"/>
    <w:rPr>
      <w:rFonts w:ascii="Times New Roman" w:eastAsia="Times New Roman" w:hAnsi="Times New Roman"/>
      <w:b/>
      <w:bCs/>
      <w:sz w:val="28"/>
      <w:szCs w:val="26"/>
      <w:lang w:val="cs-CZ" w:eastAsia="en-US"/>
    </w:rPr>
  </w:style>
  <w:style w:type="character" w:customStyle="1" w:styleId="Napis2Char">
    <w:name w:val="Napis 2 Char"/>
    <w:basedOn w:val="Nadpis2Char1"/>
    <w:link w:val="Napis2"/>
    <w:rsid w:val="005051C8"/>
    <w:rPr>
      <w:rFonts w:ascii="Times New Roman" w:eastAsia="Times New Roman" w:hAnsi="Times New Roman" w:cs="Times New Roman"/>
      <w:b/>
      <w:bCs/>
      <w:sz w:val="28"/>
      <w:szCs w:val="26"/>
      <w:lang w:val="cs-CZ" w:eastAsia="en-US"/>
    </w:rPr>
  </w:style>
  <w:style w:type="paragraph" w:customStyle="1" w:styleId="Nadpis40">
    <w:name w:val="Nadpis4"/>
    <w:basedOn w:val="Nadpis4"/>
    <w:link w:val="Nadpis4Char0"/>
    <w:qFormat/>
    <w:rsid w:val="005051C8"/>
    <w:pPr>
      <w:suppressAutoHyphens/>
      <w:autoSpaceDN w:val="0"/>
      <w:spacing w:before="200" w:line="360" w:lineRule="auto"/>
      <w:jc w:val="both"/>
      <w:textAlignment w:val="baseline"/>
    </w:pPr>
    <w:rPr>
      <w:rFonts w:ascii="Times New Roman" w:eastAsia="Times New Roman" w:hAnsi="Times New Roman" w:cs="Times New Roman"/>
      <w:b/>
      <w:bCs/>
      <w:color w:val="auto"/>
      <w:sz w:val="24"/>
      <w:szCs w:val="24"/>
      <w:lang w:val="cs-CZ"/>
    </w:rPr>
  </w:style>
  <w:style w:type="character" w:customStyle="1" w:styleId="Nadpis3Char1">
    <w:name w:val="Nadpis 3 Char1"/>
    <w:basedOn w:val="Predvolenpsmoodseku"/>
    <w:rsid w:val="005051C8"/>
    <w:rPr>
      <w:rFonts w:ascii="Times New Roman" w:eastAsia="Times New Roman" w:hAnsi="Times New Roman"/>
      <w:b/>
      <w:bCs/>
      <w:smallCaps/>
      <w:sz w:val="24"/>
      <w:szCs w:val="24"/>
      <w:lang w:val="cs-CZ" w:eastAsia="en-US"/>
    </w:rPr>
  </w:style>
  <w:style w:type="character" w:customStyle="1" w:styleId="Nadpis3Char0">
    <w:name w:val="Nadpis3 Char"/>
    <w:basedOn w:val="Nadpis3Char1"/>
    <w:link w:val="Nadpis30"/>
    <w:rsid w:val="005051C8"/>
    <w:rPr>
      <w:rFonts w:ascii="Times New Roman" w:eastAsia="Times New Roman" w:hAnsi="Times New Roman" w:cs="Times New Roman"/>
      <w:b/>
      <w:bCs/>
      <w:smallCaps w:val="0"/>
      <w:sz w:val="24"/>
      <w:szCs w:val="24"/>
      <w:lang w:val="cs-CZ" w:eastAsia="en-US"/>
    </w:rPr>
  </w:style>
  <w:style w:type="paragraph" w:customStyle="1" w:styleId="UZ">
    <w:name w:val="UZ"/>
    <w:basedOn w:val="Nnadpis"/>
    <w:link w:val="UZChar"/>
    <w:qFormat/>
    <w:rsid w:val="005051C8"/>
  </w:style>
  <w:style w:type="character" w:customStyle="1" w:styleId="Nadpis4Char1">
    <w:name w:val="Nadpis 4 Char1"/>
    <w:basedOn w:val="Predvolenpsmoodseku"/>
    <w:rsid w:val="005051C8"/>
    <w:rPr>
      <w:rFonts w:ascii="Times New Roman" w:eastAsia="Times New Roman" w:hAnsi="Times New Roman"/>
      <w:b/>
      <w:bCs/>
      <w:i/>
      <w:iCs/>
      <w:sz w:val="24"/>
      <w:szCs w:val="24"/>
      <w:lang w:val="cs-CZ" w:eastAsia="en-US"/>
    </w:rPr>
  </w:style>
  <w:style w:type="character" w:customStyle="1" w:styleId="Nadpis4Char0">
    <w:name w:val="Nadpis4 Char"/>
    <w:basedOn w:val="Nadpis4Char1"/>
    <w:link w:val="Nadpis40"/>
    <w:rsid w:val="005051C8"/>
    <w:rPr>
      <w:rFonts w:ascii="Times New Roman" w:eastAsia="Times New Roman" w:hAnsi="Times New Roman" w:cs="Times New Roman"/>
      <w:b/>
      <w:bCs/>
      <w:i/>
      <w:iCs/>
      <w:sz w:val="24"/>
      <w:szCs w:val="24"/>
      <w:lang w:val="cs-CZ" w:eastAsia="en-US"/>
    </w:rPr>
  </w:style>
  <w:style w:type="character" w:customStyle="1" w:styleId="NnadpisChar1">
    <w:name w:val="N. nadpis Char1"/>
    <w:basedOn w:val="Nadpis1Char1"/>
    <w:link w:val="Nnadpis"/>
    <w:rsid w:val="005051C8"/>
    <w:rPr>
      <w:rFonts w:ascii="Times New Roman" w:eastAsia="Times New Roman" w:hAnsi="Times New Roman" w:cs="Times New Roman"/>
      <w:b/>
      <w:bCs/>
      <w:sz w:val="32"/>
      <w:szCs w:val="28"/>
      <w:lang w:val="cs-CZ" w:eastAsia="en-US"/>
    </w:rPr>
  </w:style>
  <w:style w:type="character" w:customStyle="1" w:styleId="UZChar">
    <w:name w:val="UZ Char"/>
    <w:basedOn w:val="NnadpisChar1"/>
    <w:link w:val="UZ"/>
    <w:rsid w:val="005051C8"/>
    <w:rPr>
      <w:rFonts w:ascii="Times New Roman" w:eastAsia="Times New Roman" w:hAnsi="Times New Roman" w:cs="Times New Roman"/>
      <w:b/>
      <w:bCs/>
      <w:sz w:val="32"/>
      <w:szCs w:val="28"/>
      <w:lang w:val="cs-CZ" w:eastAsia="en-US"/>
    </w:rPr>
  </w:style>
  <w:style w:type="paragraph" w:styleId="Obsah4">
    <w:name w:val="toc 4"/>
    <w:basedOn w:val="Normlny"/>
    <w:next w:val="Normlny"/>
    <w:autoRedefine/>
    <w:uiPriority w:val="39"/>
    <w:semiHidden/>
    <w:unhideWhenUsed/>
    <w:rsid w:val="005051C8"/>
    <w:pPr>
      <w:suppressAutoHyphens/>
      <w:autoSpaceDN w:val="0"/>
      <w:spacing w:before="240" w:after="100" w:line="360" w:lineRule="auto"/>
      <w:ind w:left="720" w:firstLine="709"/>
      <w:jc w:val="both"/>
      <w:textAlignment w:val="baseline"/>
    </w:pPr>
    <w:rPr>
      <w:rFonts w:ascii="Times New Roman" w:eastAsia="Calibri" w:hAnsi="Times New Roman" w:cs="Times New Roman"/>
      <w:sz w:val="24"/>
      <w:szCs w:val="24"/>
    </w:rPr>
  </w:style>
  <w:style w:type="paragraph" w:customStyle="1" w:styleId="CharChar">
    <w:name w:val="Char Char"/>
    <w:basedOn w:val="Normlny"/>
    <w:rsid w:val="005051C8"/>
    <w:pPr>
      <w:spacing w:after="160" w:line="240" w:lineRule="exact"/>
    </w:pPr>
    <w:rPr>
      <w:rFonts w:ascii="Tahoma" w:eastAsia="Times New Roman" w:hAnsi="Tahoma" w:cs="Times New Roman"/>
      <w:sz w:val="20"/>
      <w:szCs w:val="20"/>
      <w:lang w:val="en-US"/>
    </w:rPr>
  </w:style>
  <w:style w:type="paragraph" w:customStyle="1" w:styleId="Normal1">
    <w:name w:val="Normal1"/>
    <w:basedOn w:val="Normlny"/>
    <w:rsid w:val="005051C8"/>
    <w:pPr>
      <w:spacing w:after="0" w:line="240" w:lineRule="auto"/>
    </w:pPr>
    <w:rPr>
      <w:rFonts w:ascii="Verdana" w:eastAsia="Times New Roman" w:hAnsi="Verdana" w:cs="Times New Roman"/>
      <w:sz w:val="20"/>
      <w:szCs w:val="24"/>
      <w:lang w:val="en-US" w:eastAsia="cs-CZ"/>
    </w:rPr>
  </w:style>
  <w:style w:type="paragraph" w:customStyle="1" w:styleId="5Tabuky-zoznam">
    <w:name w:val="5.Tabuľky - zoznam"/>
    <w:basedOn w:val="Normlny"/>
    <w:rsid w:val="005051C8"/>
    <w:pPr>
      <w:widowControl w:val="0"/>
      <w:tabs>
        <w:tab w:val="num" w:pos="360"/>
      </w:tabs>
      <w:snapToGrid w:val="0"/>
      <w:spacing w:after="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hyperlink" Target="http://www.finstat.sk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hyperlink" Target="http://www.finstat.sk" TargetMode="External"/><Relationship Id="rId10" Type="http://schemas.openxmlformats.org/officeDocument/2006/relationships/chart" Target="charts/chart6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počet!$A$2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cat>
            <c:strRef>
              <c:f>počet!$B$1:$L$1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počet!$B$2:$L$2</c:f>
              <c:numCache>
                <c:formatCode>General</c:formatCode>
                <c:ptCount val="11"/>
                <c:pt idx="0">
                  <c:v>523</c:v>
                </c:pt>
                <c:pt idx="1">
                  <c:v>517</c:v>
                </c:pt>
                <c:pt idx="2">
                  <c:v>515</c:v>
                </c:pt>
                <c:pt idx="3">
                  <c:v>510</c:v>
                </c:pt>
                <c:pt idx="4">
                  <c:v>502</c:v>
                </c:pt>
                <c:pt idx="5">
                  <c:v>488</c:v>
                </c:pt>
                <c:pt idx="6">
                  <c:v>492</c:v>
                </c:pt>
                <c:pt idx="7">
                  <c:v>494</c:v>
                </c:pt>
                <c:pt idx="8">
                  <c:v>501</c:v>
                </c:pt>
                <c:pt idx="9">
                  <c:v>492</c:v>
                </c:pt>
                <c:pt idx="10">
                  <c:v>489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9C1-4F97-B90F-4F7706027403}"/>
            </c:ext>
          </c:extLst>
        </c:ser>
        <c:ser>
          <c:idx val="1"/>
          <c:order val="1"/>
          <c:tx>
            <c:strRef>
              <c:f>počet!$A$3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0070C0"/>
            </a:solidFill>
            <a:ln>
              <a:solidFill>
                <a:srgbClr val="0070C0"/>
              </a:solidFill>
            </a:ln>
            <a:effectLst/>
          </c:spPr>
          <c:invertIfNegative val="0"/>
          <c:cat>
            <c:strRef>
              <c:f>počet!$B$1:$L$1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počet!$B$3:$L$3</c:f>
              <c:numCache>
                <c:formatCode>General</c:formatCode>
                <c:ptCount val="11"/>
                <c:pt idx="0">
                  <c:v>255</c:v>
                </c:pt>
                <c:pt idx="1">
                  <c:v>251</c:v>
                </c:pt>
                <c:pt idx="2">
                  <c:v>249</c:v>
                </c:pt>
                <c:pt idx="3">
                  <c:v>244</c:v>
                </c:pt>
                <c:pt idx="4">
                  <c:v>241</c:v>
                </c:pt>
                <c:pt idx="5">
                  <c:v>233</c:v>
                </c:pt>
                <c:pt idx="6">
                  <c:v>239</c:v>
                </c:pt>
                <c:pt idx="7">
                  <c:v>240</c:v>
                </c:pt>
                <c:pt idx="8">
                  <c:v>242</c:v>
                </c:pt>
                <c:pt idx="9">
                  <c:v>242</c:v>
                </c:pt>
                <c:pt idx="10">
                  <c:v>242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9C1-4F97-B90F-4F7706027403}"/>
            </c:ext>
          </c:extLst>
        </c:ser>
        <c:ser>
          <c:idx val="2"/>
          <c:order val="2"/>
          <c:tx>
            <c:strRef>
              <c:f>počet!$A$4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počet!$B$1:$L$1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počet!$B$4:$L$4</c:f>
              <c:numCache>
                <c:formatCode>General</c:formatCode>
                <c:ptCount val="11"/>
                <c:pt idx="0">
                  <c:v>268</c:v>
                </c:pt>
                <c:pt idx="1">
                  <c:v>266</c:v>
                </c:pt>
                <c:pt idx="2">
                  <c:v>266</c:v>
                </c:pt>
                <c:pt idx="3">
                  <c:v>266</c:v>
                </c:pt>
                <c:pt idx="4">
                  <c:v>261</c:v>
                </c:pt>
                <c:pt idx="5">
                  <c:v>255</c:v>
                </c:pt>
                <c:pt idx="6">
                  <c:v>253</c:v>
                </c:pt>
                <c:pt idx="7">
                  <c:v>254</c:v>
                </c:pt>
                <c:pt idx="8">
                  <c:v>259</c:v>
                </c:pt>
                <c:pt idx="9">
                  <c:v>250</c:v>
                </c:pt>
                <c:pt idx="10">
                  <c:v>247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9C1-4F97-B90F-4F77060274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1795976"/>
        <c:axId val="501793232"/>
      </c:barChart>
      <c:catAx>
        <c:axId val="501795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3232"/>
        <c:crosses val="autoZero"/>
        <c:auto val="1"/>
        <c:lblAlgn val="ctr"/>
        <c:lblOffset val="100"/>
        <c:noMultiLvlLbl val="0"/>
      </c:catAx>
      <c:valAx>
        <c:axId val="5017932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5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náboženstvo!$B$1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  <a:sp3d/>
          </c:spPr>
          <c:invertIfNegative val="0"/>
          <c:cat>
            <c:strRef>
              <c:f>náboženstvo!$A$2:$A$5</c:f>
              <c:strCache>
                <c:ptCount val="4"/>
                <c:pt idx="0">
                  <c:v>Rímskokatolícka cirkev</c:v>
                </c:pt>
                <c:pt idx="1">
                  <c:v>Gréckokatolícka cirkev</c:v>
                </c:pt>
                <c:pt idx="2">
                  <c:v>Pravoslávna cirkev</c:v>
                </c:pt>
                <c:pt idx="3">
                  <c:v>Nezistené</c:v>
                </c:pt>
              </c:strCache>
            </c:strRef>
          </c:cat>
          <c:val>
            <c:numRef>
              <c:f>náboženstvo!$B$2:$B$5</c:f>
              <c:numCache>
                <c:formatCode>General</c:formatCode>
                <c:ptCount val="4"/>
                <c:pt idx="0">
                  <c:v>233</c:v>
                </c:pt>
                <c:pt idx="1">
                  <c:v>0</c:v>
                </c:pt>
                <c:pt idx="2">
                  <c:v>0</c:v>
                </c:pt>
                <c:pt idx="3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02B-45F2-ACFF-38863B8BFA8A}"/>
            </c:ext>
          </c:extLst>
        </c:ser>
        <c:ser>
          <c:idx val="1"/>
          <c:order val="1"/>
          <c:tx>
            <c:strRef>
              <c:f>náboženstvo!$C$1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náboženstvo!$A$2:$A$5</c:f>
              <c:strCache>
                <c:ptCount val="4"/>
                <c:pt idx="0">
                  <c:v>Rímskokatolícka cirkev</c:v>
                </c:pt>
                <c:pt idx="1">
                  <c:v>Gréckokatolícka cirkev</c:v>
                </c:pt>
                <c:pt idx="2">
                  <c:v>Pravoslávna cirkev</c:v>
                </c:pt>
                <c:pt idx="3">
                  <c:v>Nezistené</c:v>
                </c:pt>
              </c:strCache>
            </c:strRef>
          </c:cat>
          <c:val>
            <c:numRef>
              <c:f>náboženstvo!$C$2:$C$5</c:f>
              <c:numCache>
                <c:formatCode>General</c:formatCode>
                <c:ptCount val="4"/>
                <c:pt idx="0">
                  <c:v>245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02B-45F2-ACFF-38863B8BFA8A}"/>
            </c:ext>
          </c:extLst>
        </c:ser>
        <c:ser>
          <c:idx val="2"/>
          <c:order val="2"/>
          <c:tx>
            <c:strRef>
              <c:f>náboženstvo!$D$1</c:f>
              <c:strCache>
                <c:ptCount val="1"/>
                <c:pt idx="0">
                  <c:v>Spolu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cat>
            <c:strRef>
              <c:f>náboženstvo!$A$2:$A$5</c:f>
              <c:strCache>
                <c:ptCount val="4"/>
                <c:pt idx="0">
                  <c:v>Rímskokatolícka cirkev</c:v>
                </c:pt>
                <c:pt idx="1">
                  <c:v>Gréckokatolícka cirkev</c:v>
                </c:pt>
                <c:pt idx="2">
                  <c:v>Pravoslávna cirkev</c:v>
                </c:pt>
                <c:pt idx="3">
                  <c:v>Nezistené</c:v>
                </c:pt>
              </c:strCache>
            </c:strRef>
          </c:cat>
          <c:val>
            <c:numRef>
              <c:f>náboženstvo!$D$2:$D$5</c:f>
              <c:numCache>
                <c:formatCode>General</c:formatCode>
                <c:ptCount val="4"/>
                <c:pt idx="0">
                  <c:v>478</c:v>
                </c:pt>
                <c:pt idx="1">
                  <c:v>2</c:v>
                </c:pt>
                <c:pt idx="2">
                  <c:v>1</c:v>
                </c:pt>
                <c:pt idx="3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02B-45F2-ACFF-38863B8BFA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519513336"/>
        <c:axId val="519513728"/>
        <c:axId val="0"/>
      </c:bar3DChart>
      <c:catAx>
        <c:axId val="5195133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19513728"/>
        <c:crosses val="autoZero"/>
        <c:auto val="1"/>
        <c:lblAlgn val="ctr"/>
        <c:lblOffset val="100"/>
        <c:noMultiLvlLbl val="0"/>
      </c:catAx>
      <c:valAx>
        <c:axId val="5195137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195133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'FO-PO'!$A$8</c:f>
              <c:strCache>
                <c:ptCount val="1"/>
                <c:pt idx="0">
                  <c:v>Právnické osoby spolu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'FO-PO'!$B$7:$L$7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'FO-PO'!$B$8:$L$8</c:f>
              <c:numCache>
                <c:formatCode>General</c:formatCode>
                <c:ptCount val="11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5</c:v>
                </c:pt>
                <c:pt idx="10">
                  <c:v>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CB0-4B01-87D3-3CD22F559D8A}"/>
            </c:ext>
          </c:extLst>
        </c:ser>
        <c:ser>
          <c:idx val="1"/>
          <c:order val="1"/>
          <c:tx>
            <c:strRef>
              <c:f>'FO-PO'!$A$9</c:f>
              <c:strCache>
                <c:ptCount val="1"/>
                <c:pt idx="0">
                  <c:v>Fyzické osoby - podnikatelia (osoby)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'FO-PO'!$B$7:$L$7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'FO-PO'!$B$9:$L$9</c:f>
              <c:numCache>
                <c:formatCode>General</c:formatCode>
                <c:ptCount val="1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CB0-4B01-87D3-3CD22F559D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9514512"/>
        <c:axId val="463120872"/>
      </c:lineChart>
      <c:catAx>
        <c:axId val="519514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463120872"/>
        <c:crosses val="autoZero"/>
        <c:auto val="1"/>
        <c:lblAlgn val="ctr"/>
        <c:lblOffset val="100"/>
        <c:noMultiLvlLbl val="0"/>
      </c:catAx>
      <c:valAx>
        <c:axId val="463120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19514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/>
              <a:t>Využitie pôdneho fondu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pôda!$R$1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</c:spPr>
          <c:dPt>
            <c:idx val="0"/>
            <c:bubble3D val="0"/>
            <c:explosion val="15"/>
            <c:spPr>
              <a:solidFill>
                <a:srgbClr val="FFFF0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6AEB-4C1F-8CA8-78FE71B7BD74}"/>
              </c:ext>
            </c:extLst>
          </c:dPt>
          <c:dPt>
            <c:idx val="1"/>
            <c:bubble3D val="0"/>
            <c:spPr>
              <a:solidFill>
                <a:srgbClr val="0070C0"/>
              </a:solidFill>
              <a:ln>
                <a:noFill/>
              </a:ln>
              <a:effectLst>
                <a:outerShdw blurRad="63500" sx="102000" sy="102000" algn="ctr" rotWithShape="0">
                  <a:prstClr val="black">
                    <a:alpha val="20000"/>
                  </a:prstClr>
                </a:out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6AEB-4C1F-8CA8-78FE71B7BD74}"/>
              </c:ext>
            </c:extLst>
          </c:dPt>
          <c:dLbls>
            <c:dLbl>
              <c:idx val="0"/>
              <c:layout>
                <c:manualLayout>
                  <c:x val="4.5319022063208203E-2"/>
                  <c:y val="0.2349726775956284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6AEB-4C1F-8CA8-78FE71B7BD74}"/>
                </c:ex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pôda!$Q$2:$Q$3</c:f>
              <c:strCache>
                <c:ptCount val="2"/>
                <c:pt idx="0">
                  <c:v>Poľnohospodárska pôda  - spolu (v m2)</c:v>
                </c:pt>
                <c:pt idx="1">
                  <c:v>Nepoľnohospodárska pôda - spolu</c:v>
                </c:pt>
              </c:strCache>
            </c:strRef>
          </c:cat>
          <c:val>
            <c:numRef>
              <c:f>pôda!$R$2:$R$3</c:f>
              <c:numCache>
                <c:formatCode>#,##0</c:formatCode>
                <c:ptCount val="2"/>
                <c:pt idx="0">
                  <c:v>3517707</c:v>
                </c:pt>
                <c:pt idx="1">
                  <c:v>10900471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AEB-4C1F-8CA8-78FE71B7BD74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sk-SK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sk-SK"/>
              <a:t>VYUŽITIE</a:t>
            </a:r>
            <a:r>
              <a:rPr lang="sk-SK" baseline="0"/>
              <a:t> ÚZEMIA</a:t>
            </a:r>
            <a:endParaRPr lang="sk-SK"/>
          </a:p>
        </c:rich>
      </c:tx>
      <c:overlay val="0"/>
      <c:spPr>
        <a:noFill/>
        <a:ln>
          <a:noFill/>
        </a:ln>
        <a:effectLst/>
      </c:sp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376747608535698E-2"/>
          <c:y val="0.12892857142857139"/>
          <c:w val="0.93524650478292848"/>
          <c:h val="0.41908042744656926"/>
        </c:manualLayout>
      </c:layout>
      <c:pie3DChart>
        <c:varyColors val="1"/>
        <c:ser>
          <c:idx val="0"/>
          <c:order val="0"/>
          <c:tx>
            <c:strRef>
              <c:f>pôda!$O$15</c:f>
              <c:strCache>
                <c:ptCount val="1"/>
                <c:pt idx="0">
                  <c:v>2015</c:v>
                </c:pt>
              </c:strCache>
            </c:strRef>
          </c:tx>
          <c:dPt>
            <c:idx val="0"/>
            <c:bubble3D val="0"/>
            <c:spPr>
              <a:solidFill>
                <a:schemeClr val="bg1">
                  <a:lumMod val="75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EE0C-403D-82CE-D96FF5244D17}"/>
              </c:ext>
            </c:extLst>
          </c:dPt>
          <c:dPt>
            <c:idx val="1"/>
            <c:bubble3D val="0"/>
            <c:spPr>
              <a:solidFill>
                <a:srgbClr val="FFC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EE0C-403D-82CE-D96FF5244D17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EE0C-403D-82CE-D96FF5244D17}"/>
              </c:ext>
            </c:extLst>
          </c:dPt>
          <c:dPt>
            <c:idx val="3"/>
            <c:bubble3D val="0"/>
            <c:spPr>
              <a:solidFill>
                <a:srgbClr val="0070C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EE0C-403D-82CE-D96FF5244D17}"/>
              </c:ext>
            </c:extLst>
          </c:dPt>
          <c:dPt>
            <c:idx val="4"/>
            <c:bubble3D val="0"/>
            <c:spPr>
              <a:solidFill>
                <a:srgbClr val="FF000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EE0C-403D-82CE-D96FF5244D17}"/>
              </c:ext>
            </c:extLst>
          </c:dPt>
          <c:dPt>
            <c:idx val="5"/>
            <c:bubble3D val="0"/>
            <c:spPr>
              <a:solidFill>
                <a:srgbClr val="00206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EE0C-403D-82CE-D96FF5244D17}"/>
              </c:ext>
            </c:extLst>
          </c:dPt>
          <c:dPt>
            <c:idx val="6"/>
            <c:bubble3D val="0"/>
            <c:spPr>
              <a:solidFill>
                <a:srgbClr val="00B0F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EE0C-403D-82CE-D96FF5244D17}"/>
              </c:ext>
            </c:extLst>
          </c:dPt>
          <c:cat>
            <c:strRef>
              <c:f>pôda!$N$16:$N$22</c:f>
              <c:strCache>
                <c:ptCount val="7"/>
                <c:pt idx="0">
                  <c:v>Poľnohospodárska pôda  - orná pôda (v m2)</c:v>
                </c:pt>
                <c:pt idx="1">
                  <c:v>Poľnohospodárska pôda  -  záhrada</c:v>
                </c:pt>
                <c:pt idx="2">
                  <c:v>Poľnohospodárska pôda  -  trvalý trávny porast (v m2)</c:v>
                </c:pt>
                <c:pt idx="3">
                  <c:v>Nepoľnohospodárska pôda - lesný pozemok (v m2)</c:v>
                </c:pt>
                <c:pt idx="4">
                  <c:v>Nepoľnohospodárska pôda - vodná plocha (v m2)</c:v>
                </c:pt>
                <c:pt idx="5">
                  <c:v>Nepoľnohospodárska pôda - zastavaná plocha a nádvorie (v m2)</c:v>
                </c:pt>
                <c:pt idx="6">
                  <c:v>Nepoľnohospodárska pôda - ostatná plocha (v m2)</c:v>
                </c:pt>
              </c:strCache>
            </c:strRef>
          </c:cat>
          <c:val>
            <c:numRef>
              <c:f>pôda!$O$16:$O$22</c:f>
              <c:numCache>
                <c:formatCode>#,##0</c:formatCode>
                <c:ptCount val="7"/>
                <c:pt idx="0">
                  <c:v>231519</c:v>
                </c:pt>
                <c:pt idx="1">
                  <c:v>189501</c:v>
                </c:pt>
                <c:pt idx="2">
                  <c:v>3096687</c:v>
                </c:pt>
                <c:pt idx="3">
                  <c:v>10405945</c:v>
                </c:pt>
                <c:pt idx="4">
                  <c:v>63250</c:v>
                </c:pt>
                <c:pt idx="5">
                  <c:v>203162</c:v>
                </c:pt>
                <c:pt idx="6">
                  <c:v>228114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E-EE0C-403D-82CE-D96FF5244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k-SK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migrácia!$A$2</c:f>
              <c:strCache>
                <c:ptCount val="1"/>
                <c:pt idx="0">
                  <c:v>Prisťahovaní na trvalý pobyt (Osoba)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migrácia!$B$1:$L$1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migrácia!$B$2:$L$2</c:f>
              <c:numCache>
                <c:formatCode>General</c:formatCode>
                <c:ptCount val="11"/>
                <c:pt idx="0">
                  <c:v>0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1</c:v>
                </c:pt>
                <c:pt idx="5">
                  <c:v>2</c:v>
                </c:pt>
                <c:pt idx="6">
                  <c:v>3</c:v>
                </c:pt>
                <c:pt idx="7">
                  <c:v>9</c:v>
                </c:pt>
                <c:pt idx="8">
                  <c:v>5</c:v>
                </c:pt>
                <c:pt idx="9">
                  <c:v>3</c:v>
                </c:pt>
                <c:pt idx="1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047-4CFF-8A37-8B6ADD6189B6}"/>
            </c:ext>
          </c:extLst>
        </c:ser>
        <c:ser>
          <c:idx val="1"/>
          <c:order val="1"/>
          <c:tx>
            <c:strRef>
              <c:f>migrácia!$A$3</c:f>
              <c:strCache>
                <c:ptCount val="1"/>
                <c:pt idx="0">
                  <c:v>Vysťahovaní z trvalého pobytu (Osoba)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migrácia!$B$1:$L$1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migrácia!$B$3:$L$3</c:f>
              <c:numCache>
                <c:formatCode>General</c:formatCode>
                <c:ptCount val="11"/>
                <c:pt idx="0">
                  <c:v>9</c:v>
                </c:pt>
                <c:pt idx="1">
                  <c:v>5</c:v>
                </c:pt>
                <c:pt idx="2">
                  <c:v>3</c:v>
                </c:pt>
                <c:pt idx="3">
                  <c:v>3</c:v>
                </c:pt>
                <c:pt idx="4">
                  <c:v>9</c:v>
                </c:pt>
                <c:pt idx="5">
                  <c:v>6</c:v>
                </c:pt>
                <c:pt idx="6">
                  <c:v>9</c:v>
                </c:pt>
                <c:pt idx="7">
                  <c:v>6</c:v>
                </c:pt>
                <c:pt idx="8">
                  <c:v>0</c:v>
                </c:pt>
                <c:pt idx="9">
                  <c:v>8</c:v>
                </c:pt>
                <c:pt idx="10">
                  <c:v>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047-4CFF-8A37-8B6ADD6189B6}"/>
            </c:ext>
          </c:extLst>
        </c:ser>
        <c:ser>
          <c:idx val="2"/>
          <c:order val="2"/>
          <c:tx>
            <c:strRef>
              <c:f>migrácia!$A$4</c:f>
              <c:strCache>
                <c:ptCount val="1"/>
                <c:pt idx="0">
                  <c:v>Migračné saldo (Osoba)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migrácia!$B$1:$L$1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migrácia!$B$4:$L$4</c:f>
              <c:numCache>
                <c:formatCode>General</c:formatCode>
                <c:ptCount val="11"/>
                <c:pt idx="0">
                  <c:v>-9</c:v>
                </c:pt>
                <c:pt idx="1">
                  <c:v>-4</c:v>
                </c:pt>
                <c:pt idx="2">
                  <c:v>-2</c:v>
                </c:pt>
                <c:pt idx="3">
                  <c:v>-1</c:v>
                </c:pt>
                <c:pt idx="4">
                  <c:v>-8</c:v>
                </c:pt>
                <c:pt idx="5">
                  <c:v>-4</c:v>
                </c:pt>
                <c:pt idx="6">
                  <c:v>-6</c:v>
                </c:pt>
                <c:pt idx="7">
                  <c:v>3</c:v>
                </c:pt>
                <c:pt idx="8">
                  <c:v>5</c:v>
                </c:pt>
                <c:pt idx="9">
                  <c:v>-5</c:v>
                </c:pt>
                <c:pt idx="10">
                  <c:v>-3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047-4CFF-8A37-8B6ADD6189B6}"/>
            </c:ext>
          </c:extLst>
        </c:ser>
        <c:ser>
          <c:idx val="3"/>
          <c:order val="3"/>
          <c:tx>
            <c:strRef>
              <c:f>migrácia!$A$5</c:f>
              <c:strCache>
                <c:ptCount val="1"/>
                <c:pt idx="0">
                  <c:v>Hrubá miera migračného salda (Promile)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migrácia!$B$1:$L$1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migrácia!$B$5:$L$5</c:f>
              <c:numCache>
                <c:formatCode>General</c:formatCode>
                <c:ptCount val="11"/>
                <c:pt idx="0">
                  <c:v>-16.853999999999999</c:v>
                </c:pt>
                <c:pt idx="1">
                  <c:v>-7.6629999999999994</c:v>
                </c:pt>
                <c:pt idx="2">
                  <c:v>-3.8759999999999994</c:v>
                </c:pt>
                <c:pt idx="3">
                  <c:v>-1.9610000000000001</c:v>
                </c:pt>
                <c:pt idx="4">
                  <c:v>-15.905000000000001</c:v>
                </c:pt>
                <c:pt idx="5">
                  <c:v>-8.0810000000000013</c:v>
                </c:pt>
                <c:pt idx="6">
                  <c:v>-12.219999999999999</c:v>
                </c:pt>
                <c:pt idx="7">
                  <c:v>6.1349999999999989</c:v>
                </c:pt>
                <c:pt idx="8">
                  <c:v>10.06</c:v>
                </c:pt>
                <c:pt idx="9">
                  <c:v>-9.98</c:v>
                </c:pt>
                <c:pt idx="10">
                  <c:v>-6.1099999999999994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2047-4CFF-8A37-8B6ADD6189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1793624"/>
        <c:axId val="501796760"/>
      </c:lineChart>
      <c:catAx>
        <c:axId val="501793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6760"/>
        <c:crosses val="autoZero"/>
        <c:auto val="1"/>
        <c:lblAlgn val="ctr"/>
        <c:lblOffset val="100"/>
        <c:noMultiLvlLbl val="0"/>
      </c:catAx>
      <c:valAx>
        <c:axId val="501796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3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'prirodzený prírastok '!$A$2</c:f>
              <c:strCache>
                <c:ptCount val="1"/>
                <c:pt idx="0">
                  <c:v>Narodení (Osoba)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strRef>
              <c:f>'prirodzený prírastok 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'prirodzený prírastok '!$B$2:$L$2</c:f>
              <c:numCache>
                <c:formatCode>General</c:formatCode>
                <c:ptCount val="11"/>
                <c:pt idx="0">
                  <c:v>2</c:v>
                </c:pt>
                <c:pt idx="1">
                  <c:v>5</c:v>
                </c:pt>
                <c:pt idx="2">
                  <c:v>4</c:v>
                </c:pt>
                <c:pt idx="3">
                  <c:v>3</c:v>
                </c:pt>
                <c:pt idx="4">
                  <c:v>6</c:v>
                </c:pt>
                <c:pt idx="5">
                  <c:v>2</c:v>
                </c:pt>
                <c:pt idx="6">
                  <c:v>6</c:v>
                </c:pt>
                <c:pt idx="7">
                  <c:v>5</c:v>
                </c:pt>
                <c:pt idx="8">
                  <c:v>3</c:v>
                </c:pt>
                <c:pt idx="9">
                  <c:v>1</c:v>
                </c:pt>
                <c:pt idx="1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26C-4B17-9202-0AC5D1B7CBE8}"/>
            </c:ext>
          </c:extLst>
        </c:ser>
        <c:ser>
          <c:idx val="1"/>
          <c:order val="1"/>
          <c:tx>
            <c:strRef>
              <c:f>'prirodzený prírastok '!$A$3</c:f>
              <c:strCache>
                <c:ptCount val="1"/>
                <c:pt idx="0">
                  <c:v>Zomretí (Osoba)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strRef>
              <c:f>'prirodzený prírastok 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'prirodzený prírastok '!$B$3:$L$3</c:f>
              <c:numCache>
                <c:formatCode>General</c:formatCode>
                <c:ptCount val="11"/>
                <c:pt idx="0">
                  <c:v>4</c:v>
                </c:pt>
                <c:pt idx="1">
                  <c:v>7</c:v>
                </c:pt>
                <c:pt idx="2">
                  <c:v>4</c:v>
                </c:pt>
                <c:pt idx="3">
                  <c:v>7</c:v>
                </c:pt>
                <c:pt idx="4">
                  <c:v>6</c:v>
                </c:pt>
                <c:pt idx="5">
                  <c:v>12</c:v>
                </c:pt>
                <c:pt idx="6">
                  <c:v>7</c:v>
                </c:pt>
                <c:pt idx="7">
                  <c:v>6</c:v>
                </c:pt>
                <c:pt idx="8">
                  <c:v>1</c:v>
                </c:pt>
                <c:pt idx="9">
                  <c:v>5</c:v>
                </c:pt>
                <c:pt idx="10">
                  <c:v>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26C-4B17-9202-0AC5D1B7CBE8}"/>
            </c:ext>
          </c:extLst>
        </c:ser>
        <c:ser>
          <c:idx val="2"/>
          <c:order val="2"/>
          <c:tx>
            <c:strRef>
              <c:f>'prirodzený prírastok '!$A$4</c:f>
              <c:strCache>
                <c:ptCount val="1"/>
                <c:pt idx="0">
                  <c:v>Prirodzený prírastok obyvateľstva (Osoba)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strRef>
              <c:f>'prirodzený prírastok 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'prirodzený prírastok '!$B$4:$L$4</c:f>
              <c:numCache>
                <c:formatCode>General</c:formatCode>
                <c:ptCount val="11"/>
                <c:pt idx="0">
                  <c:v>-2</c:v>
                </c:pt>
                <c:pt idx="1">
                  <c:v>-2</c:v>
                </c:pt>
                <c:pt idx="2">
                  <c:v>0</c:v>
                </c:pt>
                <c:pt idx="3">
                  <c:v>-4</c:v>
                </c:pt>
                <c:pt idx="4">
                  <c:v>0</c:v>
                </c:pt>
                <c:pt idx="5">
                  <c:v>-10</c:v>
                </c:pt>
                <c:pt idx="6">
                  <c:v>-1</c:v>
                </c:pt>
                <c:pt idx="7">
                  <c:v>-1</c:v>
                </c:pt>
                <c:pt idx="8">
                  <c:v>2</c:v>
                </c:pt>
                <c:pt idx="9">
                  <c:v>-4</c:v>
                </c:pt>
                <c:pt idx="1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526C-4B17-9202-0AC5D1B7CBE8}"/>
            </c:ext>
          </c:extLst>
        </c:ser>
        <c:ser>
          <c:idx val="3"/>
          <c:order val="3"/>
          <c:tx>
            <c:strRef>
              <c:f>'prirodzený prírastok '!$A$5</c:f>
              <c:strCache>
                <c:ptCount val="1"/>
                <c:pt idx="0">
                  <c:v>Hrubá miera prirodzeného prírastku obyvateľstva (Promile)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strRef>
              <c:f>'prirodzený prírastok 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'prirodzený prírastok '!$B$5:$L$5</c:f>
              <c:numCache>
                <c:formatCode>General</c:formatCode>
                <c:ptCount val="11"/>
                <c:pt idx="0">
                  <c:v>-3.7450000000000001</c:v>
                </c:pt>
                <c:pt idx="1">
                  <c:v>-3.8309999999999995</c:v>
                </c:pt>
                <c:pt idx="2">
                  <c:v>0</c:v>
                </c:pt>
                <c:pt idx="3">
                  <c:v>-7.843</c:v>
                </c:pt>
                <c:pt idx="4">
                  <c:v>0</c:v>
                </c:pt>
                <c:pt idx="5">
                  <c:v>-20.202000000000002</c:v>
                </c:pt>
                <c:pt idx="6">
                  <c:v>-2.0369999999999995</c:v>
                </c:pt>
                <c:pt idx="7">
                  <c:v>-2.0449999999999999</c:v>
                </c:pt>
                <c:pt idx="8">
                  <c:v>4.0239999999999991</c:v>
                </c:pt>
                <c:pt idx="9">
                  <c:v>-7.984</c:v>
                </c:pt>
                <c:pt idx="10">
                  <c:v>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526C-4B17-9202-0AC5D1B7CBE8}"/>
            </c:ext>
          </c:extLst>
        </c:ser>
        <c:ser>
          <c:idx val="4"/>
          <c:order val="4"/>
          <c:tx>
            <c:strRef>
              <c:f>'prirodzený prírastok '!$A$6</c:f>
              <c:strCache>
                <c:ptCount val="1"/>
                <c:pt idx="0">
                  <c:v>Hrubá miera celkového prírastku obyvateľstva (Promile)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strRef>
              <c:f>'prirodzený prírastok 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'prirodzený prírastok '!$B$6:$L$6</c:f>
              <c:numCache>
                <c:formatCode>General</c:formatCode>
                <c:ptCount val="11"/>
                <c:pt idx="0">
                  <c:v>-20.599</c:v>
                </c:pt>
                <c:pt idx="1">
                  <c:v>-11.494</c:v>
                </c:pt>
                <c:pt idx="2">
                  <c:v>-3.8759999999999994</c:v>
                </c:pt>
                <c:pt idx="3">
                  <c:v>-9.8040000000000003</c:v>
                </c:pt>
                <c:pt idx="4">
                  <c:v>-15.905000000000001</c:v>
                </c:pt>
                <c:pt idx="5">
                  <c:v>-28.282999999999998</c:v>
                </c:pt>
                <c:pt idx="6">
                  <c:v>-14.257</c:v>
                </c:pt>
                <c:pt idx="7">
                  <c:v>4.09</c:v>
                </c:pt>
                <c:pt idx="8">
                  <c:v>14.085000000000003</c:v>
                </c:pt>
                <c:pt idx="9">
                  <c:v>-17.963999999999995</c:v>
                </c:pt>
                <c:pt idx="10">
                  <c:v>-6.1099999999999994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526C-4B17-9202-0AC5D1B7CB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1795192"/>
        <c:axId val="501795584"/>
      </c:lineChart>
      <c:catAx>
        <c:axId val="501795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5584"/>
        <c:crosses val="autoZero"/>
        <c:auto val="1"/>
        <c:lblAlgn val="ctr"/>
        <c:lblOffset val="100"/>
        <c:noMultiLvlLbl val="0"/>
      </c:catAx>
      <c:valAx>
        <c:axId val="5017955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01795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'sobášnosť,rozvodovosť'!$A$2</c:f>
              <c:strCache>
                <c:ptCount val="1"/>
                <c:pt idx="0">
                  <c:v>Sobáše (Počet v jednotkách)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'sobášnosť,rozvodovosť'!$B$1:$L$1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'sobášnosť,rozvodovosť'!$B$2:$L$2</c:f>
              <c:numCache>
                <c:formatCode>General</c:formatCode>
                <c:ptCount val="11"/>
                <c:pt idx="0">
                  <c:v>3</c:v>
                </c:pt>
                <c:pt idx="1">
                  <c:v>2</c:v>
                </c:pt>
                <c:pt idx="2">
                  <c:v>5</c:v>
                </c:pt>
                <c:pt idx="3">
                  <c:v>3</c:v>
                </c:pt>
                <c:pt idx="4">
                  <c:v>2</c:v>
                </c:pt>
                <c:pt idx="5">
                  <c:v>3</c:v>
                </c:pt>
                <c:pt idx="6">
                  <c:v>1</c:v>
                </c:pt>
                <c:pt idx="7">
                  <c:v>5</c:v>
                </c:pt>
                <c:pt idx="8">
                  <c:v>2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4712-4A10-A285-2331CFA1D21D}"/>
            </c:ext>
          </c:extLst>
        </c:ser>
        <c:ser>
          <c:idx val="1"/>
          <c:order val="1"/>
          <c:tx>
            <c:strRef>
              <c:f>'sobášnosť,rozvodovosť'!$A$3</c:f>
              <c:strCache>
                <c:ptCount val="1"/>
                <c:pt idx="0">
                  <c:v>Rozvody (Počet v jednotkách)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strRef>
              <c:f>'sobášnosť,rozvodovosť'!$B$1:$L$1</c:f>
              <c:strCach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strCache>
            </c:strRef>
          </c:cat>
          <c:val>
            <c:numRef>
              <c:f>'sobášnosť,rozvodovosť'!$B$3:$L$3</c:f>
              <c:numCache>
                <c:formatCode>General</c:formatCode>
                <c:ptCount val="11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1</c:v>
                </c:pt>
                <c:pt idx="10">
                  <c:v>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4712-4A10-A285-2331CFA1D2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3941848"/>
        <c:axId val="523939496"/>
      </c:lineChart>
      <c:catAx>
        <c:axId val="523941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39496"/>
        <c:crosses val="autoZero"/>
        <c:auto val="1"/>
        <c:lblAlgn val="ctr"/>
        <c:lblOffset val="100"/>
        <c:noMultiLvlLbl val="0"/>
      </c:catAx>
      <c:valAx>
        <c:axId val="523939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41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179877515310582E-2"/>
          <c:y val="6.2947067238912732E-2"/>
          <c:w val="0.90915345581802276"/>
          <c:h val="0.4915476552555394"/>
        </c:manualLayout>
      </c:layout>
      <c:lineChart>
        <c:grouping val="standard"/>
        <c:varyColors val="0"/>
        <c:ser>
          <c:idx val="0"/>
          <c:order val="0"/>
          <c:tx>
            <c:strRef>
              <c:f>vek!$A$2</c:f>
              <c:strCache>
                <c:ptCount val="1"/>
                <c:pt idx="0">
                  <c:v>4 roky alebo menej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vek!$B$2:$L$2</c:f>
              <c:numCache>
                <c:formatCode>General</c:formatCode>
                <c:ptCount val="11"/>
                <c:pt idx="0">
                  <c:v>29</c:v>
                </c:pt>
                <c:pt idx="1">
                  <c:v>27</c:v>
                </c:pt>
                <c:pt idx="2">
                  <c:v>25</c:v>
                </c:pt>
                <c:pt idx="3">
                  <c:v>20</c:v>
                </c:pt>
                <c:pt idx="4">
                  <c:v>20</c:v>
                </c:pt>
                <c:pt idx="5">
                  <c:v>18</c:v>
                </c:pt>
                <c:pt idx="6">
                  <c:v>18</c:v>
                </c:pt>
                <c:pt idx="7">
                  <c:v>19</c:v>
                </c:pt>
                <c:pt idx="8">
                  <c:v>20</c:v>
                </c:pt>
                <c:pt idx="9">
                  <c:v>16</c:v>
                </c:pt>
                <c:pt idx="10">
                  <c:v>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A74-4C63-8AB0-3E6D9D4AFE9E}"/>
            </c:ext>
          </c:extLst>
        </c:ser>
        <c:ser>
          <c:idx val="1"/>
          <c:order val="1"/>
          <c:tx>
            <c:strRef>
              <c:f>vek!$A$3</c:f>
              <c:strCache>
                <c:ptCount val="1"/>
                <c:pt idx="0">
                  <c:v>Od 5 do 14 rokov 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vek!$B$3:$L$3</c:f>
              <c:numCache>
                <c:formatCode>General</c:formatCode>
                <c:ptCount val="11"/>
                <c:pt idx="0">
                  <c:v>72</c:v>
                </c:pt>
                <c:pt idx="1">
                  <c:v>75</c:v>
                </c:pt>
                <c:pt idx="2">
                  <c:v>71</c:v>
                </c:pt>
                <c:pt idx="3">
                  <c:v>76</c:v>
                </c:pt>
                <c:pt idx="4">
                  <c:v>71</c:v>
                </c:pt>
                <c:pt idx="5">
                  <c:v>69</c:v>
                </c:pt>
                <c:pt idx="6">
                  <c:v>65</c:v>
                </c:pt>
                <c:pt idx="7">
                  <c:v>62</c:v>
                </c:pt>
                <c:pt idx="8">
                  <c:v>54</c:v>
                </c:pt>
                <c:pt idx="9">
                  <c:v>47</c:v>
                </c:pt>
                <c:pt idx="10">
                  <c:v>41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A74-4C63-8AB0-3E6D9D4AFE9E}"/>
            </c:ext>
          </c:extLst>
        </c:ser>
        <c:ser>
          <c:idx val="2"/>
          <c:order val="2"/>
          <c:tx>
            <c:strRef>
              <c:f>vek!$A$4</c:f>
              <c:strCache>
                <c:ptCount val="1"/>
                <c:pt idx="0">
                  <c:v>od 15 do 24 rokov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vek!$B$4:$L$4</c:f>
              <c:numCache>
                <c:formatCode>General</c:formatCode>
                <c:ptCount val="11"/>
                <c:pt idx="0">
                  <c:v>69</c:v>
                </c:pt>
                <c:pt idx="1">
                  <c:v>68</c:v>
                </c:pt>
                <c:pt idx="2">
                  <c:v>69</c:v>
                </c:pt>
                <c:pt idx="3">
                  <c:v>70</c:v>
                </c:pt>
                <c:pt idx="4">
                  <c:v>72</c:v>
                </c:pt>
                <c:pt idx="5">
                  <c:v>66</c:v>
                </c:pt>
                <c:pt idx="6">
                  <c:v>70</c:v>
                </c:pt>
                <c:pt idx="7">
                  <c:v>67</c:v>
                </c:pt>
                <c:pt idx="8">
                  <c:v>75</c:v>
                </c:pt>
                <c:pt idx="9">
                  <c:v>77</c:v>
                </c:pt>
                <c:pt idx="10">
                  <c:v>74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A74-4C63-8AB0-3E6D9D4AFE9E}"/>
            </c:ext>
          </c:extLst>
        </c:ser>
        <c:ser>
          <c:idx val="3"/>
          <c:order val="3"/>
          <c:tx>
            <c:strRef>
              <c:f>vek!$A$5</c:f>
              <c:strCache>
                <c:ptCount val="1"/>
                <c:pt idx="0">
                  <c:v>od 25 do 34 rokov 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vek!$B$5:$L$5</c:f>
              <c:numCache>
                <c:formatCode>General</c:formatCode>
                <c:ptCount val="11"/>
                <c:pt idx="0">
                  <c:v>88</c:v>
                </c:pt>
                <c:pt idx="1">
                  <c:v>79</c:v>
                </c:pt>
                <c:pt idx="2">
                  <c:v>76</c:v>
                </c:pt>
                <c:pt idx="3">
                  <c:v>72</c:v>
                </c:pt>
                <c:pt idx="4">
                  <c:v>67</c:v>
                </c:pt>
                <c:pt idx="5">
                  <c:v>66</c:v>
                </c:pt>
                <c:pt idx="6">
                  <c:v>68</c:v>
                </c:pt>
                <c:pt idx="7">
                  <c:v>64</c:v>
                </c:pt>
                <c:pt idx="8">
                  <c:v>63</c:v>
                </c:pt>
                <c:pt idx="9">
                  <c:v>67</c:v>
                </c:pt>
                <c:pt idx="10">
                  <c:v>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A74-4C63-8AB0-3E6D9D4AFE9E}"/>
            </c:ext>
          </c:extLst>
        </c:ser>
        <c:ser>
          <c:idx val="4"/>
          <c:order val="4"/>
          <c:tx>
            <c:strRef>
              <c:f>vek!$A$6</c:f>
              <c:strCache>
                <c:ptCount val="1"/>
                <c:pt idx="0">
                  <c:v>od 35 do 49 rokov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vek!$B$6:$L$6</c:f>
              <c:numCache>
                <c:formatCode>General</c:formatCode>
                <c:ptCount val="11"/>
                <c:pt idx="0">
                  <c:v>77</c:v>
                </c:pt>
                <c:pt idx="1">
                  <c:v>83</c:v>
                </c:pt>
                <c:pt idx="2">
                  <c:v>91</c:v>
                </c:pt>
                <c:pt idx="3">
                  <c:v>93</c:v>
                </c:pt>
                <c:pt idx="4">
                  <c:v>94</c:v>
                </c:pt>
                <c:pt idx="5">
                  <c:v>97</c:v>
                </c:pt>
                <c:pt idx="6">
                  <c:v>100</c:v>
                </c:pt>
                <c:pt idx="7">
                  <c:v>113</c:v>
                </c:pt>
                <c:pt idx="8">
                  <c:v>114</c:v>
                </c:pt>
                <c:pt idx="9">
                  <c:v>108</c:v>
                </c:pt>
                <c:pt idx="10">
                  <c:v>115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A74-4C63-8AB0-3E6D9D4AFE9E}"/>
            </c:ext>
          </c:extLst>
        </c:ser>
        <c:ser>
          <c:idx val="5"/>
          <c:order val="5"/>
          <c:tx>
            <c:strRef>
              <c:f>vek!$A$7</c:f>
              <c:strCache>
                <c:ptCount val="1"/>
                <c:pt idx="0">
                  <c:v>od 50 do 64 rokov 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vek!$B$7:$L$7</c:f>
              <c:numCache>
                <c:formatCode>General</c:formatCode>
                <c:ptCount val="11"/>
                <c:pt idx="0">
                  <c:v>94</c:v>
                </c:pt>
                <c:pt idx="1">
                  <c:v>95</c:v>
                </c:pt>
                <c:pt idx="2">
                  <c:v>90</c:v>
                </c:pt>
                <c:pt idx="3">
                  <c:v>89</c:v>
                </c:pt>
                <c:pt idx="4">
                  <c:v>85</c:v>
                </c:pt>
                <c:pt idx="5">
                  <c:v>83</c:v>
                </c:pt>
                <c:pt idx="6">
                  <c:v>81</c:v>
                </c:pt>
                <c:pt idx="7">
                  <c:v>78</c:v>
                </c:pt>
                <c:pt idx="8">
                  <c:v>80</c:v>
                </c:pt>
                <c:pt idx="9">
                  <c:v>75</c:v>
                </c:pt>
                <c:pt idx="10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A74-4C63-8AB0-3E6D9D4AFE9E}"/>
            </c:ext>
          </c:extLst>
        </c:ser>
        <c:ser>
          <c:idx val="6"/>
          <c:order val="6"/>
          <c:tx>
            <c:strRef>
              <c:f>vek!$A$8</c:f>
              <c:strCache>
                <c:ptCount val="1"/>
                <c:pt idx="0">
                  <c:v>65 rokov alebo viac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numRef>
              <c:f>vek!$B$1:$L$1</c:f>
              <c:numCache>
                <c:formatCode>General</c:formatCode>
                <c:ptCount val="11"/>
                <c:pt idx="0">
                  <c:v>2005</c:v>
                </c:pt>
                <c:pt idx="1">
                  <c:v>2006</c:v>
                </c:pt>
                <c:pt idx="2">
                  <c:v>2007</c:v>
                </c:pt>
                <c:pt idx="3">
                  <c:v>2008</c:v>
                </c:pt>
                <c:pt idx="4">
                  <c:v>2009</c:v>
                </c:pt>
                <c:pt idx="5">
                  <c:v>2010</c:v>
                </c:pt>
                <c:pt idx="6">
                  <c:v>2011</c:v>
                </c:pt>
                <c:pt idx="7">
                  <c:v>2012</c:v>
                </c:pt>
                <c:pt idx="8">
                  <c:v>2013</c:v>
                </c:pt>
                <c:pt idx="9">
                  <c:v>2014</c:v>
                </c:pt>
                <c:pt idx="10">
                  <c:v>2015</c:v>
                </c:pt>
              </c:numCache>
            </c:numRef>
          </c:cat>
          <c:val>
            <c:numRef>
              <c:f>vek!$B$8:$L$8</c:f>
              <c:numCache>
                <c:formatCode>General</c:formatCode>
                <c:ptCount val="11"/>
                <c:pt idx="0">
                  <c:v>94</c:v>
                </c:pt>
                <c:pt idx="1">
                  <c:v>90</c:v>
                </c:pt>
                <c:pt idx="2">
                  <c:v>93</c:v>
                </c:pt>
                <c:pt idx="3">
                  <c:v>90</c:v>
                </c:pt>
                <c:pt idx="4">
                  <c:v>93</c:v>
                </c:pt>
                <c:pt idx="5">
                  <c:v>89</c:v>
                </c:pt>
                <c:pt idx="6">
                  <c:v>90</c:v>
                </c:pt>
                <c:pt idx="7">
                  <c:v>91</c:v>
                </c:pt>
                <c:pt idx="8">
                  <c:v>95</c:v>
                </c:pt>
                <c:pt idx="9">
                  <c:v>102</c:v>
                </c:pt>
                <c:pt idx="10">
                  <c:v>106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FA74-4C63-8AB0-3E6D9D4AFE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3940672"/>
        <c:axId val="523941064"/>
      </c:lineChart>
      <c:catAx>
        <c:axId val="52394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41064"/>
        <c:crosses val="autoZero"/>
        <c:auto val="1"/>
        <c:lblAlgn val="ctr"/>
        <c:lblOffset val="100"/>
        <c:noMultiLvlLbl val="0"/>
      </c:catAx>
      <c:valAx>
        <c:axId val="523941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4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'vek-pohlavie'!$AT$26</c:f>
              <c:strCache>
                <c:ptCount val="1"/>
                <c:pt idx="0">
                  <c:v>4 roky alebo menej</c:v>
                </c:pt>
              </c:strCache>
            </c:strRef>
          </c:tx>
          <c:spPr>
            <a:ln w="28575" cap="rnd">
              <a:solidFill>
                <a:schemeClr val="accent2">
                  <a:lumMod val="40000"/>
                  <a:lumOff val="60000"/>
                </a:schemeClr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'vek-pohlavie'!$AU$26:$BP$26</c:f>
              <c:numCache>
                <c:formatCode>General</c:formatCode>
                <c:ptCount val="22"/>
                <c:pt idx="0">
                  <c:v>16</c:v>
                </c:pt>
                <c:pt idx="1">
                  <c:v>13</c:v>
                </c:pt>
                <c:pt idx="2">
                  <c:v>12</c:v>
                </c:pt>
                <c:pt idx="3">
                  <c:v>9</c:v>
                </c:pt>
                <c:pt idx="4">
                  <c:v>9</c:v>
                </c:pt>
                <c:pt idx="5">
                  <c:v>8</c:v>
                </c:pt>
                <c:pt idx="6">
                  <c:v>9</c:v>
                </c:pt>
                <c:pt idx="7">
                  <c:v>10</c:v>
                </c:pt>
                <c:pt idx="8">
                  <c:v>9</c:v>
                </c:pt>
                <c:pt idx="9">
                  <c:v>6</c:v>
                </c:pt>
                <c:pt idx="10">
                  <c:v>9</c:v>
                </c:pt>
                <c:pt idx="11">
                  <c:v>13</c:v>
                </c:pt>
                <c:pt idx="12">
                  <c:v>14</c:v>
                </c:pt>
                <c:pt idx="13">
                  <c:v>13</c:v>
                </c:pt>
                <c:pt idx="14">
                  <c:v>11</c:v>
                </c:pt>
                <c:pt idx="15">
                  <c:v>11</c:v>
                </c:pt>
                <c:pt idx="16">
                  <c:v>10</c:v>
                </c:pt>
                <c:pt idx="17">
                  <c:v>9</c:v>
                </c:pt>
                <c:pt idx="18">
                  <c:v>9</c:v>
                </c:pt>
                <c:pt idx="19">
                  <c:v>11</c:v>
                </c:pt>
                <c:pt idx="20">
                  <c:v>10</c:v>
                </c:pt>
                <c:pt idx="21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6224-41E3-B721-1219C24E0A54}"/>
            </c:ext>
          </c:extLst>
        </c:ser>
        <c:ser>
          <c:idx val="1"/>
          <c:order val="1"/>
          <c:tx>
            <c:strRef>
              <c:f>'vek-pohlavie'!$AT$27</c:f>
              <c:strCache>
                <c:ptCount val="1"/>
                <c:pt idx="0">
                  <c:v>Od 5 do 14 rokov </c:v>
                </c:pt>
              </c:strCache>
            </c:strRef>
          </c:tx>
          <c:spPr>
            <a:ln w="28575" cap="rnd">
              <a:solidFill>
                <a:srgbClr val="00B0F0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'vek-pohlavie'!$AU$27:$BP$27</c:f>
              <c:numCache>
                <c:formatCode>General</c:formatCode>
                <c:ptCount val="22"/>
                <c:pt idx="0">
                  <c:v>30</c:v>
                </c:pt>
                <c:pt idx="1">
                  <c:v>35</c:v>
                </c:pt>
                <c:pt idx="2">
                  <c:v>35</c:v>
                </c:pt>
                <c:pt idx="3">
                  <c:v>38</c:v>
                </c:pt>
                <c:pt idx="4">
                  <c:v>35</c:v>
                </c:pt>
                <c:pt idx="5">
                  <c:v>33</c:v>
                </c:pt>
                <c:pt idx="6">
                  <c:v>29</c:v>
                </c:pt>
                <c:pt idx="7">
                  <c:v>26</c:v>
                </c:pt>
                <c:pt idx="8">
                  <c:v>24</c:v>
                </c:pt>
                <c:pt idx="9">
                  <c:v>26</c:v>
                </c:pt>
                <c:pt idx="10">
                  <c:v>20</c:v>
                </c:pt>
                <c:pt idx="11">
                  <c:v>42</c:v>
                </c:pt>
                <c:pt idx="12">
                  <c:v>40</c:v>
                </c:pt>
                <c:pt idx="13">
                  <c:v>36</c:v>
                </c:pt>
                <c:pt idx="14">
                  <c:v>38</c:v>
                </c:pt>
                <c:pt idx="15">
                  <c:v>36</c:v>
                </c:pt>
                <c:pt idx="16">
                  <c:v>36</c:v>
                </c:pt>
                <c:pt idx="17">
                  <c:v>36</c:v>
                </c:pt>
                <c:pt idx="18">
                  <c:v>36</c:v>
                </c:pt>
                <c:pt idx="19">
                  <c:v>30</c:v>
                </c:pt>
                <c:pt idx="20">
                  <c:v>21</c:v>
                </c:pt>
                <c:pt idx="21">
                  <c:v>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224-41E3-B721-1219C24E0A54}"/>
            </c:ext>
          </c:extLst>
        </c:ser>
        <c:ser>
          <c:idx val="2"/>
          <c:order val="2"/>
          <c:tx>
            <c:strRef>
              <c:f>'vek-pohlavie'!$AT$28</c:f>
              <c:strCache>
                <c:ptCount val="1"/>
                <c:pt idx="0">
                  <c:v>od 15 do 24 rokov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'vek-pohlavie'!$AU$28:$BP$28</c:f>
              <c:numCache>
                <c:formatCode>General</c:formatCode>
                <c:ptCount val="22"/>
                <c:pt idx="0">
                  <c:v>35</c:v>
                </c:pt>
                <c:pt idx="1">
                  <c:v>32</c:v>
                </c:pt>
                <c:pt idx="2">
                  <c:v>30</c:v>
                </c:pt>
                <c:pt idx="3">
                  <c:v>29</c:v>
                </c:pt>
                <c:pt idx="4">
                  <c:v>31</c:v>
                </c:pt>
                <c:pt idx="5">
                  <c:v>28</c:v>
                </c:pt>
                <c:pt idx="6">
                  <c:v>32</c:v>
                </c:pt>
                <c:pt idx="7">
                  <c:v>32</c:v>
                </c:pt>
                <c:pt idx="8">
                  <c:v>33</c:v>
                </c:pt>
                <c:pt idx="9">
                  <c:v>32</c:v>
                </c:pt>
                <c:pt idx="10">
                  <c:v>34</c:v>
                </c:pt>
                <c:pt idx="11">
                  <c:v>34</c:v>
                </c:pt>
                <c:pt idx="12">
                  <c:v>36</c:v>
                </c:pt>
                <c:pt idx="13">
                  <c:v>39</c:v>
                </c:pt>
                <c:pt idx="14">
                  <c:v>41</c:v>
                </c:pt>
                <c:pt idx="15">
                  <c:v>41</c:v>
                </c:pt>
                <c:pt idx="16">
                  <c:v>38</c:v>
                </c:pt>
                <c:pt idx="17">
                  <c:v>38</c:v>
                </c:pt>
                <c:pt idx="18">
                  <c:v>35</c:v>
                </c:pt>
                <c:pt idx="19">
                  <c:v>42</c:v>
                </c:pt>
                <c:pt idx="20">
                  <c:v>45</c:v>
                </c:pt>
                <c:pt idx="21">
                  <c:v>40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224-41E3-B721-1219C24E0A54}"/>
            </c:ext>
          </c:extLst>
        </c:ser>
        <c:ser>
          <c:idx val="3"/>
          <c:order val="3"/>
          <c:tx>
            <c:strRef>
              <c:f>'vek-pohlavie'!$AT$29</c:f>
              <c:strCache>
                <c:ptCount val="1"/>
                <c:pt idx="0">
                  <c:v>od 25 do 34 rokov </c:v>
                </c:pt>
              </c:strCache>
            </c:strRef>
          </c:tx>
          <c:spPr>
            <a:ln w="28575" cap="rnd">
              <a:solidFill>
                <a:srgbClr val="FFC000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'vek-pohlavie'!$AU$29:$BP$29</c:f>
              <c:numCache>
                <c:formatCode>General</c:formatCode>
                <c:ptCount val="22"/>
                <c:pt idx="0">
                  <c:v>51</c:v>
                </c:pt>
                <c:pt idx="1">
                  <c:v>45</c:v>
                </c:pt>
                <c:pt idx="2">
                  <c:v>43</c:v>
                </c:pt>
                <c:pt idx="3">
                  <c:v>40</c:v>
                </c:pt>
                <c:pt idx="4">
                  <c:v>38</c:v>
                </c:pt>
                <c:pt idx="5">
                  <c:v>39</c:v>
                </c:pt>
                <c:pt idx="6">
                  <c:v>45</c:v>
                </c:pt>
                <c:pt idx="7">
                  <c:v>39</c:v>
                </c:pt>
                <c:pt idx="8">
                  <c:v>38</c:v>
                </c:pt>
                <c:pt idx="9">
                  <c:v>38</c:v>
                </c:pt>
                <c:pt idx="10">
                  <c:v>34</c:v>
                </c:pt>
                <c:pt idx="11">
                  <c:v>37</c:v>
                </c:pt>
                <c:pt idx="12">
                  <c:v>34</c:v>
                </c:pt>
                <c:pt idx="13">
                  <c:v>33</c:v>
                </c:pt>
                <c:pt idx="14">
                  <c:v>32</c:v>
                </c:pt>
                <c:pt idx="15">
                  <c:v>29</c:v>
                </c:pt>
                <c:pt idx="16">
                  <c:v>27</c:v>
                </c:pt>
                <c:pt idx="17">
                  <c:v>23</c:v>
                </c:pt>
                <c:pt idx="18">
                  <c:v>25</c:v>
                </c:pt>
                <c:pt idx="19">
                  <c:v>25</c:v>
                </c:pt>
                <c:pt idx="20">
                  <c:v>29</c:v>
                </c:pt>
                <c:pt idx="21">
                  <c:v>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224-41E3-B721-1219C24E0A54}"/>
            </c:ext>
          </c:extLst>
        </c:ser>
        <c:ser>
          <c:idx val="4"/>
          <c:order val="4"/>
          <c:tx>
            <c:strRef>
              <c:f>'vek-pohlavie'!$AT$30</c:f>
              <c:strCache>
                <c:ptCount val="1"/>
                <c:pt idx="0">
                  <c:v>od 35 do 49 rokov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'vek-pohlavie'!$AU$30:$BP$30</c:f>
              <c:numCache>
                <c:formatCode>General</c:formatCode>
                <c:ptCount val="22"/>
                <c:pt idx="0">
                  <c:v>47</c:v>
                </c:pt>
                <c:pt idx="1">
                  <c:v>50</c:v>
                </c:pt>
                <c:pt idx="2">
                  <c:v>54</c:v>
                </c:pt>
                <c:pt idx="3">
                  <c:v>55</c:v>
                </c:pt>
                <c:pt idx="4">
                  <c:v>54</c:v>
                </c:pt>
                <c:pt idx="5">
                  <c:v>54</c:v>
                </c:pt>
                <c:pt idx="6">
                  <c:v>55</c:v>
                </c:pt>
                <c:pt idx="7">
                  <c:v>64</c:v>
                </c:pt>
                <c:pt idx="8">
                  <c:v>65</c:v>
                </c:pt>
                <c:pt idx="9">
                  <c:v>63</c:v>
                </c:pt>
                <c:pt idx="10">
                  <c:v>67</c:v>
                </c:pt>
                <c:pt idx="11">
                  <c:v>30</c:v>
                </c:pt>
                <c:pt idx="12">
                  <c:v>33</c:v>
                </c:pt>
                <c:pt idx="13">
                  <c:v>37</c:v>
                </c:pt>
                <c:pt idx="14">
                  <c:v>38</c:v>
                </c:pt>
                <c:pt idx="15">
                  <c:v>40</c:v>
                </c:pt>
                <c:pt idx="16">
                  <c:v>43</c:v>
                </c:pt>
                <c:pt idx="17">
                  <c:v>45</c:v>
                </c:pt>
                <c:pt idx="18">
                  <c:v>49</c:v>
                </c:pt>
                <c:pt idx="19">
                  <c:v>49</c:v>
                </c:pt>
                <c:pt idx="20">
                  <c:v>45</c:v>
                </c:pt>
                <c:pt idx="21">
                  <c:v>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224-41E3-B721-1219C24E0A54}"/>
            </c:ext>
          </c:extLst>
        </c:ser>
        <c:ser>
          <c:idx val="5"/>
          <c:order val="5"/>
          <c:tx>
            <c:strRef>
              <c:f>'vek-pohlavie'!$AT$31</c:f>
              <c:strCache>
                <c:ptCount val="1"/>
                <c:pt idx="0">
                  <c:v>od 50 do 64 rokov </c:v>
                </c:pt>
              </c:strCache>
            </c:strRef>
          </c:tx>
          <c:spPr>
            <a:ln w="28575" cap="rnd">
              <a:solidFill>
                <a:srgbClr val="FFFF00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'vek-pohlavie'!$AU$31:$BP$31</c:f>
              <c:numCache>
                <c:formatCode>General</c:formatCode>
                <c:ptCount val="22"/>
                <c:pt idx="0">
                  <c:v>41</c:v>
                </c:pt>
                <c:pt idx="1">
                  <c:v>42</c:v>
                </c:pt>
                <c:pt idx="2">
                  <c:v>40</c:v>
                </c:pt>
                <c:pt idx="3">
                  <c:v>39</c:v>
                </c:pt>
                <c:pt idx="4">
                  <c:v>39</c:v>
                </c:pt>
                <c:pt idx="5">
                  <c:v>38</c:v>
                </c:pt>
                <c:pt idx="6">
                  <c:v>36</c:v>
                </c:pt>
                <c:pt idx="7">
                  <c:v>35</c:v>
                </c:pt>
                <c:pt idx="8">
                  <c:v>38</c:v>
                </c:pt>
                <c:pt idx="9">
                  <c:v>36</c:v>
                </c:pt>
                <c:pt idx="10">
                  <c:v>34</c:v>
                </c:pt>
                <c:pt idx="11">
                  <c:v>53</c:v>
                </c:pt>
                <c:pt idx="12">
                  <c:v>53</c:v>
                </c:pt>
                <c:pt idx="13">
                  <c:v>50</c:v>
                </c:pt>
                <c:pt idx="14">
                  <c:v>50</c:v>
                </c:pt>
                <c:pt idx="15">
                  <c:v>46</c:v>
                </c:pt>
                <c:pt idx="16">
                  <c:v>45</c:v>
                </c:pt>
                <c:pt idx="17">
                  <c:v>45</c:v>
                </c:pt>
                <c:pt idx="18">
                  <c:v>43</c:v>
                </c:pt>
                <c:pt idx="19">
                  <c:v>42</c:v>
                </c:pt>
                <c:pt idx="20">
                  <c:v>39</c:v>
                </c:pt>
                <c:pt idx="21">
                  <c:v>36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6224-41E3-B721-1219C24E0A54}"/>
            </c:ext>
          </c:extLst>
        </c:ser>
        <c:ser>
          <c:idx val="6"/>
          <c:order val="6"/>
          <c:tx>
            <c:strRef>
              <c:f>'vek-pohlavie'!$AT$32</c:f>
              <c:strCache>
                <c:ptCount val="1"/>
                <c:pt idx="0">
                  <c:v>65 rokov alebo viac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cat>
            <c:multiLvlStrRef>
              <c:f>'vek-pohlavie'!$AU$24:$BP$25</c:f>
              <c:multiLvlStrCache>
                <c:ptCount val="22"/>
                <c:lvl>
                  <c:pt idx="0">
                    <c:v>2005</c:v>
                  </c:pt>
                  <c:pt idx="1">
                    <c:v>2006</c:v>
                  </c:pt>
                  <c:pt idx="2">
                    <c:v>2007</c:v>
                  </c:pt>
                  <c:pt idx="3">
                    <c:v>2008</c:v>
                  </c:pt>
                  <c:pt idx="4">
                    <c:v>2009</c:v>
                  </c:pt>
                  <c:pt idx="5">
                    <c:v>2010</c:v>
                  </c:pt>
                  <c:pt idx="6">
                    <c:v>2011</c:v>
                  </c:pt>
                  <c:pt idx="7">
                    <c:v>2012</c:v>
                  </c:pt>
                  <c:pt idx="8">
                    <c:v>2013</c:v>
                  </c:pt>
                  <c:pt idx="9">
                    <c:v>2014</c:v>
                  </c:pt>
                  <c:pt idx="10">
                    <c:v>2015</c:v>
                  </c:pt>
                  <c:pt idx="11">
                    <c:v>2005</c:v>
                  </c:pt>
                  <c:pt idx="12">
                    <c:v>2006</c:v>
                  </c:pt>
                  <c:pt idx="13">
                    <c:v>2007</c:v>
                  </c:pt>
                  <c:pt idx="14">
                    <c:v>2008</c:v>
                  </c:pt>
                  <c:pt idx="15">
                    <c:v>2009</c:v>
                  </c:pt>
                  <c:pt idx="16">
                    <c:v>2010</c:v>
                  </c:pt>
                  <c:pt idx="17">
                    <c:v>2011</c:v>
                  </c:pt>
                  <c:pt idx="18">
                    <c:v>2012</c:v>
                  </c:pt>
                  <c:pt idx="19">
                    <c:v>2013</c:v>
                  </c:pt>
                  <c:pt idx="20">
                    <c:v>2014</c:v>
                  </c:pt>
                  <c:pt idx="21">
                    <c:v>2015</c:v>
                  </c:pt>
                </c:lvl>
                <c:lvl>
                  <c:pt idx="0">
                    <c:v>muži</c:v>
                  </c:pt>
                  <c:pt idx="11">
                    <c:v>ženy</c:v>
                  </c:pt>
                </c:lvl>
              </c:multiLvlStrCache>
            </c:multiLvlStrRef>
          </c:cat>
          <c:val>
            <c:numRef>
              <c:f>'vek-pohlavie'!$AU$32:$BP$32</c:f>
              <c:numCache>
                <c:formatCode>General</c:formatCode>
                <c:ptCount val="22"/>
                <c:pt idx="0">
                  <c:v>35</c:v>
                </c:pt>
                <c:pt idx="1">
                  <c:v>34</c:v>
                </c:pt>
                <c:pt idx="2">
                  <c:v>35</c:v>
                </c:pt>
                <c:pt idx="3">
                  <c:v>34</c:v>
                </c:pt>
                <c:pt idx="4">
                  <c:v>35</c:v>
                </c:pt>
                <c:pt idx="5">
                  <c:v>33</c:v>
                </c:pt>
                <c:pt idx="6">
                  <c:v>33</c:v>
                </c:pt>
                <c:pt idx="7">
                  <c:v>34</c:v>
                </c:pt>
                <c:pt idx="8">
                  <c:v>35</c:v>
                </c:pt>
                <c:pt idx="9">
                  <c:v>41</c:v>
                </c:pt>
                <c:pt idx="10">
                  <c:v>44</c:v>
                </c:pt>
                <c:pt idx="11">
                  <c:v>59</c:v>
                </c:pt>
                <c:pt idx="12">
                  <c:v>56</c:v>
                </c:pt>
                <c:pt idx="13">
                  <c:v>58</c:v>
                </c:pt>
                <c:pt idx="14">
                  <c:v>56</c:v>
                </c:pt>
                <c:pt idx="15">
                  <c:v>58</c:v>
                </c:pt>
                <c:pt idx="16">
                  <c:v>56</c:v>
                </c:pt>
                <c:pt idx="17">
                  <c:v>57</c:v>
                </c:pt>
                <c:pt idx="18">
                  <c:v>57</c:v>
                </c:pt>
                <c:pt idx="19">
                  <c:v>60</c:v>
                </c:pt>
                <c:pt idx="20">
                  <c:v>61</c:v>
                </c:pt>
                <c:pt idx="21">
                  <c:v>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6-6224-41E3-B721-1219C24E0A5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23942240"/>
        <c:axId val="523942632"/>
      </c:lineChart>
      <c:catAx>
        <c:axId val="523942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42632"/>
        <c:crosses val="autoZero"/>
        <c:auto val="1"/>
        <c:lblAlgn val="ctr"/>
        <c:lblOffset val="100"/>
        <c:noMultiLvlLbl val="0"/>
      </c:catAx>
      <c:valAx>
        <c:axId val="523942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523942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'vzdelanie '!$K$2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'vzdelanie '!$J$3:$J$14</c:f>
              <c:strCache>
                <c:ptCount val="12"/>
                <c:pt idx="0">
                  <c:v>Základné</c:v>
                </c:pt>
                <c:pt idx="1">
                  <c:v>Učňovské (bez maturity)</c:v>
                </c:pt>
                <c:pt idx="2">
                  <c:v>Stredné odborné 
(bez maturity)</c:v>
                </c:pt>
                <c:pt idx="3">
                  <c:v>Úplné stredné učňovské 
(s maturitou)</c:v>
                </c:pt>
                <c:pt idx="4">
                  <c:v>Úplné stredné odborné 
(s maturitou)</c:v>
                </c:pt>
                <c:pt idx="5">
                  <c:v>Úplné stredné všeobecné</c:v>
                </c:pt>
                <c:pt idx="6">
                  <c:v>Vyššie odborné vzdelanie</c:v>
                </c:pt>
                <c:pt idx="7">
                  <c:v>Vysokoškolské bakalárske</c:v>
                </c:pt>
                <c:pt idx="8">
                  <c:v>Vysokoškolské magisterské, inžinierske, doktorské</c:v>
                </c:pt>
                <c:pt idx="9">
                  <c:v>Vysokoškolské spolu</c:v>
                </c:pt>
                <c:pt idx="10">
                  <c:v>Bez školského vzdelania</c:v>
                </c:pt>
                <c:pt idx="11">
                  <c:v>Nezistené</c:v>
                </c:pt>
              </c:strCache>
            </c:strRef>
          </c:cat>
          <c:val>
            <c:numRef>
              <c:f>'vzdelanie '!$K$3:$K$14</c:f>
              <c:numCache>
                <c:formatCode>General</c:formatCode>
                <c:ptCount val="12"/>
                <c:pt idx="0">
                  <c:v>46</c:v>
                </c:pt>
                <c:pt idx="1">
                  <c:v>47</c:v>
                </c:pt>
                <c:pt idx="2">
                  <c:v>43</c:v>
                </c:pt>
                <c:pt idx="3">
                  <c:v>12</c:v>
                </c:pt>
                <c:pt idx="4">
                  <c:v>36</c:v>
                </c:pt>
                <c:pt idx="5">
                  <c:v>1</c:v>
                </c:pt>
                <c:pt idx="6">
                  <c:v>2</c:v>
                </c:pt>
                <c:pt idx="7">
                  <c:v>1</c:v>
                </c:pt>
                <c:pt idx="8">
                  <c:v>4</c:v>
                </c:pt>
                <c:pt idx="9">
                  <c:v>5</c:v>
                </c:pt>
                <c:pt idx="10">
                  <c:v>42</c:v>
                </c:pt>
                <c:pt idx="11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0F-484F-A616-85136315194C}"/>
            </c:ext>
          </c:extLst>
        </c:ser>
        <c:ser>
          <c:idx val="1"/>
          <c:order val="1"/>
          <c:tx>
            <c:strRef>
              <c:f>'vzdelanie '!$L$2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'vzdelanie '!$J$3:$J$14</c:f>
              <c:strCache>
                <c:ptCount val="12"/>
                <c:pt idx="0">
                  <c:v>Základné</c:v>
                </c:pt>
                <c:pt idx="1">
                  <c:v>Učňovské (bez maturity)</c:v>
                </c:pt>
                <c:pt idx="2">
                  <c:v>Stredné odborné 
(bez maturity)</c:v>
                </c:pt>
                <c:pt idx="3">
                  <c:v>Úplné stredné učňovské 
(s maturitou)</c:v>
                </c:pt>
                <c:pt idx="4">
                  <c:v>Úplné stredné odborné 
(s maturitou)</c:v>
                </c:pt>
                <c:pt idx="5">
                  <c:v>Úplné stredné všeobecné</c:v>
                </c:pt>
                <c:pt idx="6">
                  <c:v>Vyššie odborné vzdelanie</c:v>
                </c:pt>
                <c:pt idx="7">
                  <c:v>Vysokoškolské bakalárske</c:v>
                </c:pt>
                <c:pt idx="8">
                  <c:v>Vysokoškolské magisterské, inžinierske, doktorské</c:v>
                </c:pt>
                <c:pt idx="9">
                  <c:v>Vysokoškolské spolu</c:v>
                </c:pt>
                <c:pt idx="10">
                  <c:v>Bez školského vzdelania</c:v>
                </c:pt>
                <c:pt idx="11">
                  <c:v>Nezistené</c:v>
                </c:pt>
              </c:strCache>
            </c:strRef>
          </c:cat>
          <c:val>
            <c:numRef>
              <c:f>'vzdelanie '!$L$3:$L$14</c:f>
              <c:numCache>
                <c:formatCode>General</c:formatCode>
                <c:ptCount val="12"/>
                <c:pt idx="0">
                  <c:v>92</c:v>
                </c:pt>
                <c:pt idx="1">
                  <c:v>30</c:v>
                </c:pt>
                <c:pt idx="2">
                  <c:v>28</c:v>
                </c:pt>
                <c:pt idx="3">
                  <c:v>7</c:v>
                </c:pt>
                <c:pt idx="4">
                  <c:v>26</c:v>
                </c:pt>
                <c:pt idx="5">
                  <c:v>6</c:v>
                </c:pt>
                <c:pt idx="6">
                  <c:v>0</c:v>
                </c:pt>
                <c:pt idx="7">
                  <c:v>7</c:v>
                </c:pt>
                <c:pt idx="8">
                  <c:v>6</c:v>
                </c:pt>
                <c:pt idx="9">
                  <c:v>13</c:v>
                </c:pt>
                <c:pt idx="10">
                  <c:v>47</c:v>
                </c:pt>
                <c:pt idx="11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D0F-484F-A616-8513631519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214923168"/>
        <c:axId val="214925912"/>
      </c:barChart>
      <c:catAx>
        <c:axId val="2149231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k-SK"/>
          </a:p>
        </c:txPr>
        <c:crossAx val="214925912"/>
        <c:crosses val="autoZero"/>
        <c:auto val="1"/>
        <c:lblAlgn val="ctr"/>
        <c:lblOffset val="100"/>
        <c:noMultiLvlLbl val="0"/>
      </c:catAx>
      <c:valAx>
        <c:axId val="2149259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sk-SK"/>
          </a:p>
        </c:txPr>
        <c:crossAx val="214923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sk-SK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stacked"/>
        <c:varyColors val="0"/>
        <c:ser>
          <c:idx val="0"/>
          <c:order val="0"/>
          <c:tx>
            <c:strRef>
              <c:f>'odbor VŠ'!$J$19</c:f>
              <c:strCache>
                <c:ptCount val="1"/>
                <c:pt idx="0">
                  <c:v>muži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'odbor VŠ'!$I$20:$I$24</c:f>
              <c:strCache>
                <c:ptCount val="5"/>
                <c:pt idx="0">
                  <c:v>technické vedy a náuky I (baníctvo, hutníctvo, strojárstvo, informatika a VT, elektrotech., tech. chémia, potravinárstvo)</c:v>
                </c:pt>
                <c:pt idx="1">
                  <c:v>poľnohospodársko-lesnícke a veterinárne vedy a náuky</c:v>
                </c:pt>
                <c:pt idx="2">
                  <c:v>zdravotníctvo</c:v>
                </c:pt>
                <c:pt idx="3">
                  <c:v>spoločenské vedy, náuky a služby I (filozof.,ekon.,polit. a práv.vedy, ekonomika a manaž., obchod a služby,SŠ- OA, HA, praktická š.,učeb.odb.)</c:v>
                </c:pt>
                <c:pt idx="4">
                  <c:v>spoločenské vedy, náuky a služby II (histor.,filolog.,pedag. a psych.vedy, publicistika a informácie, telových.,učiteľstvo, SŠ - gym.)</c:v>
                </c:pt>
              </c:strCache>
            </c:strRef>
          </c:cat>
          <c:val>
            <c:numRef>
              <c:f>'odbor VŠ'!$J$20:$J$24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0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BC3-4B8A-A869-77DD91A50B1D}"/>
            </c:ext>
          </c:extLst>
        </c:ser>
        <c:ser>
          <c:idx val="1"/>
          <c:order val="1"/>
          <c:tx>
            <c:strRef>
              <c:f>'odbor VŠ'!$K$19</c:f>
              <c:strCache>
                <c:ptCount val="1"/>
                <c:pt idx="0">
                  <c:v>ženy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'odbor VŠ'!$I$20:$I$24</c:f>
              <c:strCache>
                <c:ptCount val="5"/>
                <c:pt idx="0">
                  <c:v>technické vedy a náuky I (baníctvo, hutníctvo, strojárstvo, informatika a VT, elektrotech., tech. chémia, potravinárstvo)</c:v>
                </c:pt>
                <c:pt idx="1">
                  <c:v>poľnohospodársko-lesnícke a veterinárne vedy a náuky</c:v>
                </c:pt>
                <c:pt idx="2">
                  <c:v>zdravotníctvo</c:v>
                </c:pt>
                <c:pt idx="3">
                  <c:v>spoločenské vedy, náuky a služby I (filozof.,ekon.,polit. a práv.vedy, ekonomika a manaž., obchod a služby,SŠ- OA, HA, praktická š.,učeb.odb.)</c:v>
                </c:pt>
                <c:pt idx="4">
                  <c:v>spoločenské vedy, náuky a služby II (histor.,filolog.,pedag. a psych.vedy, publicistika a informácie, telových.,učiteľstvo, SŠ - gym.)</c:v>
                </c:pt>
              </c:strCache>
            </c:strRef>
          </c:cat>
          <c:val>
            <c:numRef>
              <c:f>'odbor VŠ'!$K$20:$K$24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3</c:v>
                </c:pt>
                <c:pt idx="3">
                  <c:v>4</c:v>
                </c:pt>
                <c:pt idx="4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BC3-4B8A-A869-77DD91A50B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4924344"/>
        <c:axId val="214926304"/>
      </c:barChart>
      <c:catAx>
        <c:axId val="2149243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14926304"/>
        <c:crosses val="autoZero"/>
        <c:auto val="1"/>
        <c:lblAlgn val="ctr"/>
        <c:lblOffset val="100"/>
        <c:noMultiLvlLbl val="0"/>
      </c:catAx>
      <c:valAx>
        <c:axId val="214926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14924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sk-SK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národnosť!$M$7</c:f>
              <c:strCache>
                <c:ptCount val="1"/>
                <c:pt idx="0">
                  <c:v>Slovenská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národnosť!$N$6:$P$6</c:f>
              <c:strCache>
                <c:ptCount val="3"/>
                <c:pt idx="0">
                  <c:v>Muži</c:v>
                </c:pt>
                <c:pt idx="1">
                  <c:v>Ženy</c:v>
                </c:pt>
                <c:pt idx="2">
                  <c:v>Spolu</c:v>
                </c:pt>
              </c:strCache>
            </c:strRef>
          </c:cat>
          <c:val>
            <c:numRef>
              <c:f>národnosť!$N$7:$P$7</c:f>
              <c:numCache>
                <c:formatCode>General</c:formatCode>
                <c:ptCount val="3"/>
                <c:pt idx="0">
                  <c:v>232</c:v>
                </c:pt>
                <c:pt idx="1">
                  <c:v>248</c:v>
                </c:pt>
                <c:pt idx="2">
                  <c:v>480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9C3-475C-AE88-EE3A43D7AB45}"/>
            </c:ext>
          </c:extLst>
        </c:ser>
        <c:ser>
          <c:idx val="1"/>
          <c:order val="1"/>
          <c:tx>
            <c:strRef>
              <c:f>národnosť!$M$8</c:f>
              <c:strCache>
                <c:ptCount val="1"/>
                <c:pt idx="0">
                  <c:v>Nezistená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cat>
            <c:strRef>
              <c:f>národnosť!$N$6:$P$6</c:f>
              <c:strCache>
                <c:ptCount val="3"/>
                <c:pt idx="0">
                  <c:v>Muži</c:v>
                </c:pt>
                <c:pt idx="1">
                  <c:v>Ženy</c:v>
                </c:pt>
                <c:pt idx="2">
                  <c:v>Spolu</c:v>
                </c:pt>
              </c:strCache>
            </c:strRef>
          </c:cat>
          <c:val>
            <c:numRef>
              <c:f>národnosť!$N$8:$P$8</c:f>
              <c:numCache>
                <c:formatCode>General</c:formatCode>
                <c:ptCount val="3"/>
                <c:pt idx="0">
                  <c:v>5</c:v>
                </c:pt>
                <c:pt idx="1">
                  <c:v>5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9C3-475C-AE88-EE3A43D7AB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14939512"/>
        <c:axId val="214937160"/>
      </c:barChart>
      <c:catAx>
        <c:axId val="214939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14937160"/>
        <c:crosses val="autoZero"/>
        <c:auto val="1"/>
        <c:lblAlgn val="ctr"/>
        <c:lblOffset val="100"/>
        <c:noMultiLvlLbl val="0"/>
      </c:catAx>
      <c:valAx>
        <c:axId val="214937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214939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3403</Words>
  <Characters>19398</Characters>
  <Application>Microsoft Office Word</Application>
  <DocSecurity>0</DocSecurity>
  <Lines>161</Lines>
  <Paragraphs>45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REBYOVÁ Mária</dc:creator>
  <cp:keywords/>
  <dc:description/>
  <cp:lastModifiedBy>REBYOVÁ Mária</cp:lastModifiedBy>
  <cp:revision>1</cp:revision>
  <dcterms:created xsi:type="dcterms:W3CDTF">2020-02-07T09:18:00Z</dcterms:created>
  <dcterms:modified xsi:type="dcterms:W3CDTF">2020-02-07T09:19:00Z</dcterms:modified>
</cp:coreProperties>
</file>